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6B76775A" w:rsidR="008556B1" w:rsidRPr="008448A4" w:rsidRDefault="008556B1" w:rsidP="00DF506C">
      <w:pPr>
        <w:pStyle w:val="Heading1"/>
        <w:spacing w:before="0" w:beforeAutospacing="0" w:after="240" w:afterAutospacing="0"/>
        <w:rPr>
          <w:rFonts w:eastAsia="Times New Roman"/>
          <w:lang w:val="en"/>
        </w:rPr>
      </w:pPr>
      <w:bookmarkStart w:id="0" w:name="_Vocational_Rehabilitation_Services"/>
      <w:bookmarkStart w:id="1" w:name="_Toc135396272"/>
      <w:bookmarkEnd w:id="0"/>
      <w:r w:rsidRPr="008448A4">
        <w:rPr>
          <w:rFonts w:eastAsia="Times New Roman"/>
          <w:lang w:val="en"/>
        </w:rPr>
        <w:t>Vocational Rehabilitation Services Manual</w:t>
      </w:r>
      <w:r w:rsidR="001208D3">
        <w:rPr>
          <w:rFonts w:eastAsia="Times New Roman"/>
          <w:lang w:val="en"/>
        </w:rPr>
        <w:t xml:space="preserve"> Section D</w:t>
      </w:r>
      <w:r w:rsidR="007013F1">
        <w:rPr>
          <w:rFonts w:eastAsia="Times New Roman"/>
          <w:lang w:val="en"/>
        </w:rPr>
        <w:t>-400</w:t>
      </w:r>
      <w:bookmarkEnd w:id="1"/>
    </w:p>
    <w:sdt>
      <w:sdtPr>
        <w:rPr>
          <w:rFonts w:ascii="Verdana" w:eastAsiaTheme="minorHAnsi" w:hAnsi="Verdana" w:cstheme="minorBidi"/>
          <w:color w:val="auto"/>
          <w:sz w:val="22"/>
          <w:szCs w:val="22"/>
        </w:rPr>
        <w:id w:val="-1195375843"/>
        <w:docPartObj>
          <w:docPartGallery w:val="Table of Contents"/>
          <w:docPartUnique/>
        </w:docPartObj>
      </w:sdtPr>
      <w:sdtEndPr>
        <w:rPr>
          <w:b/>
          <w:bCs/>
          <w:noProof/>
          <w:sz w:val="24"/>
        </w:rPr>
      </w:sdtEndPr>
      <w:sdtContent>
        <w:p w14:paraId="7F541241" w14:textId="2ABD0257" w:rsidR="0012098C" w:rsidRPr="008448A4" w:rsidRDefault="0012098C">
          <w:pPr>
            <w:pStyle w:val="TOCHeading"/>
            <w:rPr>
              <w:rFonts w:ascii="Verdana" w:hAnsi="Verdana"/>
            </w:rPr>
          </w:pPr>
          <w:r w:rsidRPr="008448A4">
            <w:rPr>
              <w:rFonts w:ascii="Verdana" w:hAnsi="Verdana"/>
            </w:rPr>
            <w:t>Table of Contents</w:t>
          </w:r>
        </w:p>
        <w:p w14:paraId="496BD396" w14:textId="6F69A5A8" w:rsidR="0071534A" w:rsidRDefault="0012098C">
          <w:pPr>
            <w:pStyle w:val="TOC1"/>
            <w:tabs>
              <w:tab w:val="right" w:leader="dot" w:pos="9350"/>
            </w:tabs>
            <w:rPr>
              <w:rFonts w:asciiTheme="minorHAnsi" w:eastAsiaTheme="minorEastAsia" w:hAnsiTheme="minorHAnsi"/>
              <w:noProof/>
              <w:sz w:val="22"/>
            </w:rPr>
          </w:pPr>
          <w:r w:rsidRPr="008448A4">
            <w:fldChar w:fldCharType="begin"/>
          </w:r>
          <w:r w:rsidRPr="008448A4">
            <w:instrText xml:space="preserve"> TOC \o "1-3" \h \z \u </w:instrText>
          </w:r>
          <w:r w:rsidRPr="008448A4">
            <w:fldChar w:fldCharType="separate"/>
          </w:r>
          <w:hyperlink w:anchor="_Toc135396272" w:history="1">
            <w:r w:rsidR="0071534A" w:rsidRPr="00DB7A11">
              <w:rPr>
                <w:rStyle w:val="Hyperlink"/>
                <w:rFonts w:eastAsia="Times New Roman"/>
                <w:noProof/>
                <w:lang w:val="en"/>
              </w:rPr>
              <w:t>Vocational Rehabilitation Services Manual Section D-400</w:t>
            </w:r>
            <w:r w:rsidR="0071534A">
              <w:rPr>
                <w:noProof/>
                <w:webHidden/>
              </w:rPr>
              <w:tab/>
            </w:r>
            <w:r w:rsidR="0071534A">
              <w:rPr>
                <w:noProof/>
                <w:webHidden/>
              </w:rPr>
              <w:fldChar w:fldCharType="begin"/>
            </w:r>
            <w:r w:rsidR="0071534A">
              <w:rPr>
                <w:noProof/>
                <w:webHidden/>
              </w:rPr>
              <w:instrText xml:space="preserve"> PAGEREF _Toc135396272 \h </w:instrText>
            </w:r>
            <w:r w:rsidR="0071534A">
              <w:rPr>
                <w:noProof/>
                <w:webHidden/>
              </w:rPr>
            </w:r>
            <w:r w:rsidR="0071534A">
              <w:rPr>
                <w:noProof/>
                <w:webHidden/>
              </w:rPr>
              <w:fldChar w:fldCharType="separate"/>
            </w:r>
            <w:r w:rsidR="0071534A">
              <w:rPr>
                <w:noProof/>
                <w:webHidden/>
              </w:rPr>
              <w:t>1</w:t>
            </w:r>
            <w:r w:rsidR="0071534A">
              <w:rPr>
                <w:noProof/>
                <w:webHidden/>
              </w:rPr>
              <w:fldChar w:fldCharType="end"/>
            </w:r>
          </w:hyperlink>
        </w:p>
        <w:p w14:paraId="48A0F1BD" w14:textId="38AE8954" w:rsidR="0071534A" w:rsidRDefault="00F94D3F">
          <w:pPr>
            <w:pStyle w:val="TOC2"/>
            <w:tabs>
              <w:tab w:val="right" w:leader="dot" w:pos="9350"/>
            </w:tabs>
            <w:rPr>
              <w:rFonts w:asciiTheme="minorHAnsi" w:eastAsiaTheme="minorEastAsia" w:hAnsiTheme="minorHAnsi"/>
              <w:noProof/>
              <w:sz w:val="22"/>
            </w:rPr>
          </w:pPr>
          <w:hyperlink w:anchor="_Toc135396273" w:history="1">
            <w:r w:rsidR="0071534A" w:rsidRPr="00DB7A11">
              <w:rPr>
                <w:rStyle w:val="Hyperlink"/>
                <w:rFonts w:eastAsia="Times New Roman"/>
                <w:noProof/>
                <w:lang w:val="en"/>
              </w:rPr>
              <w:t>Notes on the Manual</w:t>
            </w:r>
            <w:r w:rsidR="0071534A">
              <w:rPr>
                <w:noProof/>
                <w:webHidden/>
              </w:rPr>
              <w:tab/>
            </w:r>
            <w:r w:rsidR="0071534A">
              <w:rPr>
                <w:noProof/>
                <w:webHidden/>
              </w:rPr>
              <w:fldChar w:fldCharType="begin"/>
            </w:r>
            <w:r w:rsidR="0071534A">
              <w:rPr>
                <w:noProof/>
                <w:webHidden/>
              </w:rPr>
              <w:instrText xml:space="preserve"> PAGEREF _Toc135396273 \h </w:instrText>
            </w:r>
            <w:r w:rsidR="0071534A">
              <w:rPr>
                <w:noProof/>
                <w:webHidden/>
              </w:rPr>
            </w:r>
            <w:r w:rsidR="0071534A">
              <w:rPr>
                <w:noProof/>
                <w:webHidden/>
              </w:rPr>
              <w:fldChar w:fldCharType="separate"/>
            </w:r>
            <w:r w:rsidR="0071534A">
              <w:rPr>
                <w:noProof/>
                <w:webHidden/>
              </w:rPr>
              <w:t>1</w:t>
            </w:r>
            <w:r w:rsidR="0071534A">
              <w:rPr>
                <w:noProof/>
                <w:webHidden/>
              </w:rPr>
              <w:fldChar w:fldCharType="end"/>
            </w:r>
          </w:hyperlink>
        </w:p>
        <w:p w14:paraId="6166CE1A" w14:textId="4172EBAC" w:rsidR="0071534A" w:rsidRDefault="00F94D3F">
          <w:pPr>
            <w:pStyle w:val="TOC2"/>
            <w:tabs>
              <w:tab w:val="right" w:leader="dot" w:pos="9350"/>
            </w:tabs>
            <w:rPr>
              <w:rFonts w:asciiTheme="minorHAnsi" w:eastAsiaTheme="minorEastAsia" w:hAnsiTheme="minorHAnsi"/>
              <w:noProof/>
              <w:sz w:val="22"/>
            </w:rPr>
          </w:pPr>
          <w:hyperlink w:anchor="_Toc135396274" w:history="1">
            <w:r w:rsidR="0071534A" w:rsidRPr="00DB7A11">
              <w:rPr>
                <w:rStyle w:val="Hyperlink"/>
                <w:rFonts w:eastAsia="Times New Roman"/>
                <w:noProof/>
                <w:lang w:val="en"/>
              </w:rPr>
              <w:t>Manual Overview</w:t>
            </w:r>
            <w:r w:rsidR="0071534A">
              <w:rPr>
                <w:noProof/>
                <w:webHidden/>
              </w:rPr>
              <w:tab/>
            </w:r>
            <w:r w:rsidR="0071534A">
              <w:rPr>
                <w:noProof/>
                <w:webHidden/>
              </w:rPr>
              <w:fldChar w:fldCharType="begin"/>
            </w:r>
            <w:r w:rsidR="0071534A">
              <w:rPr>
                <w:noProof/>
                <w:webHidden/>
              </w:rPr>
              <w:instrText xml:space="preserve"> PAGEREF _Toc135396274 \h </w:instrText>
            </w:r>
            <w:r w:rsidR="0071534A">
              <w:rPr>
                <w:noProof/>
                <w:webHidden/>
              </w:rPr>
            </w:r>
            <w:r w:rsidR="0071534A">
              <w:rPr>
                <w:noProof/>
                <w:webHidden/>
              </w:rPr>
              <w:fldChar w:fldCharType="separate"/>
            </w:r>
            <w:r w:rsidR="0071534A">
              <w:rPr>
                <w:noProof/>
                <w:webHidden/>
              </w:rPr>
              <w:t>2</w:t>
            </w:r>
            <w:r w:rsidR="0071534A">
              <w:rPr>
                <w:noProof/>
                <w:webHidden/>
              </w:rPr>
              <w:fldChar w:fldCharType="end"/>
            </w:r>
          </w:hyperlink>
        </w:p>
        <w:p w14:paraId="3FFDB19C" w14:textId="58E92EE2" w:rsidR="0071534A" w:rsidRDefault="00F94D3F">
          <w:pPr>
            <w:pStyle w:val="TOC1"/>
            <w:tabs>
              <w:tab w:val="right" w:leader="dot" w:pos="9350"/>
            </w:tabs>
            <w:rPr>
              <w:rFonts w:asciiTheme="minorHAnsi" w:eastAsiaTheme="minorEastAsia" w:hAnsiTheme="minorHAnsi"/>
              <w:noProof/>
              <w:sz w:val="22"/>
            </w:rPr>
          </w:pPr>
          <w:hyperlink w:anchor="_Toc135396275" w:history="1">
            <w:r w:rsidR="0071534A" w:rsidRPr="00DB7A11">
              <w:rPr>
                <w:rStyle w:val="Hyperlink"/>
                <w:rFonts w:eastAsia="Times New Roman"/>
                <w:noProof/>
                <w:lang w:val="en"/>
              </w:rPr>
              <w:t>Vocational Rehabilitation Services Manual D-400: Quality Assurance and Continuous Quality Improvement</w:t>
            </w:r>
            <w:r w:rsidR="0071534A">
              <w:rPr>
                <w:noProof/>
                <w:webHidden/>
              </w:rPr>
              <w:tab/>
            </w:r>
            <w:r w:rsidR="0071534A">
              <w:rPr>
                <w:noProof/>
                <w:webHidden/>
              </w:rPr>
              <w:fldChar w:fldCharType="begin"/>
            </w:r>
            <w:r w:rsidR="0071534A">
              <w:rPr>
                <w:noProof/>
                <w:webHidden/>
              </w:rPr>
              <w:instrText xml:space="preserve"> PAGEREF _Toc135396275 \h </w:instrText>
            </w:r>
            <w:r w:rsidR="0071534A">
              <w:rPr>
                <w:noProof/>
                <w:webHidden/>
              </w:rPr>
            </w:r>
            <w:r w:rsidR="0071534A">
              <w:rPr>
                <w:noProof/>
                <w:webHidden/>
              </w:rPr>
              <w:fldChar w:fldCharType="separate"/>
            </w:r>
            <w:r w:rsidR="0071534A">
              <w:rPr>
                <w:noProof/>
                <w:webHidden/>
              </w:rPr>
              <w:t>3</w:t>
            </w:r>
            <w:r w:rsidR="0071534A">
              <w:rPr>
                <w:noProof/>
                <w:webHidden/>
              </w:rPr>
              <w:fldChar w:fldCharType="end"/>
            </w:r>
          </w:hyperlink>
        </w:p>
        <w:p w14:paraId="0293724F" w14:textId="5620F055" w:rsidR="0071534A" w:rsidRDefault="00F94D3F">
          <w:pPr>
            <w:pStyle w:val="TOC2"/>
            <w:tabs>
              <w:tab w:val="right" w:leader="dot" w:pos="9350"/>
            </w:tabs>
            <w:rPr>
              <w:rFonts w:asciiTheme="minorHAnsi" w:eastAsiaTheme="minorEastAsia" w:hAnsiTheme="minorHAnsi"/>
              <w:noProof/>
              <w:sz w:val="22"/>
            </w:rPr>
          </w:pPr>
          <w:hyperlink w:anchor="_Toc135396276" w:history="1">
            <w:r w:rsidR="0071534A" w:rsidRPr="00DB7A11">
              <w:rPr>
                <w:rStyle w:val="Hyperlink"/>
                <w:rFonts w:eastAsia="Times New Roman"/>
                <w:noProof/>
                <w:lang w:val="en"/>
              </w:rPr>
              <w:t>Introduction</w:t>
            </w:r>
            <w:r w:rsidR="0071534A">
              <w:rPr>
                <w:noProof/>
                <w:webHidden/>
              </w:rPr>
              <w:tab/>
            </w:r>
            <w:r w:rsidR="0071534A">
              <w:rPr>
                <w:noProof/>
                <w:webHidden/>
              </w:rPr>
              <w:fldChar w:fldCharType="begin"/>
            </w:r>
            <w:r w:rsidR="0071534A">
              <w:rPr>
                <w:noProof/>
                <w:webHidden/>
              </w:rPr>
              <w:instrText xml:space="preserve"> PAGEREF _Toc135396276 \h </w:instrText>
            </w:r>
            <w:r w:rsidR="0071534A">
              <w:rPr>
                <w:noProof/>
                <w:webHidden/>
              </w:rPr>
            </w:r>
            <w:r w:rsidR="0071534A">
              <w:rPr>
                <w:noProof/>
                <w:webHidden/>
              </w:rPr>
              <w:fldChar w:fldCharType="separate"/>
            </w:r>
            <w:r w:rsidR="0071534A">
              <w:rPr>
                <w:noProof/>
                <w:webHidden/>
              </w:rPr>
              <w:t>3</w:t>
            </w:r>
            <w:r w:rsidR="0071534A">
              <w:rPr>
                <w:noProof/>
                <w:webHidden/>
              </w:rPr>
              <w:fldChar w:fldCharType="end"/>
            </w:r>
          </w:hyperlink>
        </w:p>
        <w:p w14:paraId="6D9502DC" w14:textId="0E1B6250" w:rsidR="0071534A" w:rsidRDefault="00F94D3F">
          <w:pPr>
            <w:pStyle w:val="TOC2"/>
            <w:tabs>
              <w:tab w:val="right" w:leader="dot" w:pos="9350"/>
            </w:tabs>
            <w:rPr>
              <w:rFonts w:asciiTheme="minorHAnsi" w:eastAsiaTheme="minorEastAsia" w:hAnsiTheme="minorHAnsi"/>
              <w:noProof/>
              <w:sz w:val="22"/>
            </w:rPr>
          </w:pPr>
          <w:hyperlink w:anchor="_Toc135396277" w:history="1">
            <w:r w:rsidR="0071534A" w:rsidRPr="00DB7A11">
              <w:rPr>
                <w:rStyle w:val="Hyperlink"/>
                <w:rFonts w:eastAsia="Times New Roman"/>
                <w:noProof/>
                <w:lang w:val="en"/>
              </w:rPr>
              <w:t>D-401: Legal Authorization</w:t>
            </w:r>
            <w:r w:rsidR="0071534A">
              <w:rPr>
                <w:noProof/>
                <w:webHidden/>
              </w:rPr>
              <w:tab/>
            </w:r>
            <w:r w:rsidR="0071534A">
              <w:rPr>
                <w:noProof/>
                <w:webHidden/>
              </w:rPr>
              <w:fldChar w:fldCharType="begin"/>
            </w:r>
            <w:r w:rsidR="0071534A">
              <w:rPr>
                <w:noProof/>
                <w:webHidden/>
              </w:rPr>
              <w:instrText xml:space="preserve"> PAGEREF _Toc135396277 \h </w:instrText>
            </w:r>
            <w:r w:rsidR="0071534A">
              <w:rPr>
                <w:noProof/>
                <w:webHidden/>
              </w:rPr>
            </w:r>
            <w:r w:rsidR="0071534A">
              <w:rPr>
                <w:noProof/>
                <w:webHidden/>
              </w:rPr>
              <w:fldChar w:fldCharType="separate"/>
            </w:r>
            <w:r w:rsidR="0071534A">
              <w:rPr>
                <w:noProof/>
                <w:webHidden/>
              </w:rPr>
              <w:t>3</w:t>
            </w:r>
            <w:r w:rsidR="0071534A">
              <w:rPr>
                <w:noProof/>
                <w:webHidden/>
              </w:rPr>
              <w:fldChar w:fldCharType="end"/>
            </w:r>
          </w:hyperlink>
        </w:p>
        <w:p w14:paraId="089B9AAD" w14:textId="24D0C310" w:rsidR="0071534A" w:rsidRDefault="00F94D3F">
          <w:pPr>
            <w:pStyle w:val="TOC2"/>
            <w:tabs>
              <w:tab w:val="right" w:leader="dot" w:pos="9350"/>
            </w:tabs>
            <w:rPr>
              <w:rFonts w:asciiTheme="minorHAnsi" w:eastAsiaTheme="minorEastAsia" w:hAnsiTheme="minorHAnsi"/>
              <w:noProof/>
              <w:sz w:val="22"/>
            </w:rPr>
          </w:pPr>
          <w:hyperlink w:anchor="_Toc135396278" w:history="1">
            <w:r w:rsidR="0071534A" w:rsidRPr="00DB7A11">
              <w:rPr>
                <w:rStyle w:val="Hyperlink"/>
                <w:rFonts w:eastAsia="Times New Roman"/>
                <w:noProof/>
                <w:lang w:val="en"/>
              </w:rPr>
              <w:t>D-402: Quality Assurance Policy</w:t>
            </w:r>
            <w:r w:rsidR="0071534A">
              <w:rPr>
                <w:noProof/>
                <w:webHidden/>
              </w:rPr>
              <w:tab/>
            </w:r>
            <w:r w:rsidR="0071534A">
              <w:rPr>
                <w:noProof/>
                <w:webHidden/>
              </w:rPr>
              <w:fldChar w:fldCharType="begin"/>
            </w:r>
            <w:r w:rsidR="0071534A">
              <w:rPr>
                <w:noProof/>
                <w:webHidden/>
              </w:rPr>
              <w:instrText xml:space="preserve"> PAGEREF _Toc135396278 \h </w:instrText>
            </w:r>
            <w:r w:rsidR="0071534A">
              <w:rPr>
                <w:noProof/>
                <w:webHidden/>
              </w:rPr>
            </w:r>
            <w:r w:rsidR="0071534A">
              <w:rPr>
                <w:noProof/>
                <w:webHidden/>
              </w:rPr>
              <w:fldChar w:fldCharType="separate"/>
            </w:r>
            <w:r w:rsidR="0071534A">
              <w:rPr>
                <w:noProof/>
                <w:webHidden/>
              </w:rPr>
              <w:t>4</w:t>
            </w:r>
            <w:r w:rsidR="0071534A">
              <w:rPr>
                <w:noProof/>
                <w:webHidden/>
              </w:rPr>
              <w:fldChar w:fldCharType="end"/>
            </w:r>
          </w:hyperlink>
        </w:p>
        <w:p w14:paraId="5489A6DA" w14:textId="0D4BE0D6" w:rsidR="0071534A" w:rsidRDefault="00F94D3F">
          <w:pPr>
            <w:pStyle w:val="TOC2"/>
            <w:tabs>
              <w:tab w:val="right" w:leader="dot" w:pos="9350"/>
            </w:tabs>
            <w:rPr>
              <w:rFonts w:asciiTheme="minorHAnsi" w:eastAsiaTheme="minorEastAsia" w:hAnsiTheme="minorHAnsi"/>
              <w:noProof/>
              <w:sz w:val="22"/>
            </w:rPr>
          </w:pPr>
          <w:hyperlink w:anchor="_Toc135396279" w:history="1">
            <w:r w:rsidR="0071534A" w:rsidRPr="00DB7A11">
              <w:rPr>
                <w:rStyle w:val="Hyperlink"/>
                <w:rFonts w:eastAsia="Times New Roman"/>
                <w:noProof/>
                <w:lang w:val="en"/>
              </w:rPr>
              <w:t>D-403: Monitoring Processes and Procedures</w:t>
            </w:r>
            <w:r w:rsidR="0071534A">
              <w:rPr>
                <w:noProof/>
                <w:webHidden/>
              </w:rPr>
              <w:tab/>
            </w:r>
            <w:r w:rsidR="0071534A">
              <w:rPr>
                <w:noProof/>
                <w:webHidden/>
              </w:rPr>
              <w:fldChar w:fldCharType="begin"/>
            </w:r>
            <w:r w:rsidR="0071534A">
              <w:rPr>
                <w:noProof/>
                <w:webHidden/>
              </w:rPr>
              <w:instrText xml:space="preserve"> PAGEREF _Toc135396279 \h </w:instrText>
            </w:r>
            <w:r w:rsidR="0071534A">
              <w:rPr>
                <w:noProof/>
                <w:webHidden/>
              </w:rPr>
            </w:r>
            <w:r w:rsidR="0071534A">
              <w:rPr>
                <w:noProof/>
                <w:webHidden/>
              </w:rPr>
              <w:fldChar w:fldCharType="separate"/>
            </w:r>
            <w:r w:rsidR="0071534A">
              <w:rPr>
                <w:noProof/>
                <w:webHidden/>
              </w:rPr>
              <w:t>4</w:t>
            </w:r>
            <w:r w:rsidR="0071534A">
              <w:rPr>
                <w:noProof/>
                <w:webHidden/>
              </w:rPr>
              <w:fldChar w:fldCharType="end"/>
            </w:r>
          </w:hyperlink>
        </w:p>
        <w:p w14:paraId="3FD2E864" w14:textId="38A08BFD" w:rsidR="0071534A" w:rsidRDefault="00F94D3F">
          <w:pPr>
            <w:pStyle w:val="TOC3"/>
            <w:tabs>
              <w:tab w:val="right" w:leader="dot" w:pos="9350"/>
            </w:tabs>
            <w:rPr>
              <w:rFonts w:asciiTheme="minorHAnsi" w:eastAsiaTheme="minorEastAsia" w:hAnsiTheme="minorHAnsi"/>
              <w:noProof/>
              <w:sz w:val="22"/>
            </w:rPr>
          </w:pPr>
          <w:hyperlink w:anchor="_Toc135396280" w:history="1">
            <w:r w:rsidR="0071534A" w:rsidRPr="00DB7A11">
              <w:rPr>
                <w:rStyle w:val="Hyperlink"/>
                <w:rFonts w:eastAsia="Times New Roman"/>
                <w:noProof/>
                <w:lang w:val="en"/>
              </w:rPr>
              <w:t>D-403-1: Operations Monitoring Reviews</w:t>
            </w:r>
            <w:r w:rsidR="0071534A">
              <w:rPr>
                <w:noProof/>
                <w:webHidden/>
              </w:rPr>
              <w:tab/>
            </w:r>
            <w:r w:rsidR="0071534A">
              <w:rPr>
                <w:noProof/>
                <w:webHidden/>
              </w:rPr>
              <w:fldChar w:fldCharType="begin"/>
            </w:r>
            <w:r w:rsidR="0071534A">
              <w:rPr>
                <w:noProof/>
                <w:webHidden/>
              </w:rPr>
              <w:instrText xml:space="preserve"> PAGEREF _Toc135396280 \h </w:instrText>
            </w:r>
            <w:r w:rsidR="0071534A">
              <w:rPr>
                <w:noProof/>
                <w:webHidden/>
              </w:rPr>
            </w:r>
            <w:r w:rsidR="0071534A">
              <w:rPr>
                <w:noProof/>
                <w:webHidden/>
              </w:rPr>
              <w:fldChar w:fldCharType="separate"/>
            </w:r>
            <w:r w:rsidR="0071534A">
              <w:rPr>
                <w:noProof/>
                <w:webHidden/>
              </w:rPr>
              <w:t>4</w:t>
            </w:r>
            <w:r w:rsidR="0071534A">
              <w:rPr>
                <w:noProof/>
                <w:webHidden/>
              </w:rPr>
              <w:fldChar w:fldCharType="end"/>
            </w:r>
          </w:hyperlink>
        </w:p>
        <w:p w14:paraId="192A0D16" w14:textId="07715479" w:rsidR="0071534A" w:rsidRDefault="00F94D3F">
          <w:pPr>
            <w:pStyle w:val="TOC3"/>
            <w:tabs>
              <w:tab w:val="right" w:leader="dot" w:pos="9350"/>
            </w:tabs>
            <w:rPr>
              <w:rFonts w:asciiTheme="minorHAnsi" w:eastAsiaTheme="minorEastAsia" w:hAnsiTheme="minorHAnsi"/>
              <w:noProof/>
              <w:sz w:val="22"/>
            </w:rPr>
          </w:pPr>
          <w:hyperlink w:anchor="_Toc135396281" w:history="1">
            <w:r w:rsidR="0071534A" w:rsidRPr="00DB7A11">
              <w:rPr>
                <w:rStyle w:val="Hyperlink"/>
                <w:rFonts w:eastAsia="Times New Roman"/>
                <w:noProof/>
                <w:lang w:val="en"/>
              </w:rPr>
              <w:t>D-403-2: Monitoring Oversight and Internal Controls</w:t>
            </w:r>
            <w:r w:rsidR="0071534A">
              <w:rPr>
                <w:noProof/>
                <w:webHidden/>
              </w:rPr>
              <w:tab/>
            </w:r>
            <w:r w:rsidR="0071534A">
              <w:rPr>
                <w:noProof/>
                <w:webHidden/>
              </w:rPr>
              <w:fldChar w:fldCharType="begin"/>
            </w:r>
            <w:r w:rsidR="0071534A">
              <w:rPr>
                <w:noProof/>
                <w:webHidden/>
              </w:rPr>
              <w:instrText xml:space="preserve"> PAGEREF _Toc135396281 \h </w:instrText>
            </w:r>
            <w:r w:rsidR="0071534A">
              <w:rPr>
                <w:noProof/>
                <w:webHidden/>
              </w:rPr>
            </w:r>
            <w:r w:rsidR="0071534A">
              <w:rPr>
                <w:noProof/>
                <w:webHidden/>
              </w:rPr>
              <w:fldChar w:fldCharType="separate"/>
            </w:r>
            <w:r w:rsidR="0071534A">
              <w:rPr>
                <w:noProof/>
                <w:webHidden/>
              </w:rPr>
              <w:t>5</w:t>
            </w:r>
            <w:r w:rsidR="0071534A">
              <w:rPr>
                <w:noProof/>
                <w:webHidden/>
              </w:rPr>
              <w:fldChar w:fldCharType="end"/>
            </w:r>
          </w:hyperlink>
        </w:p>
        <w:p w14:paraId="7D44C6C7" w14:textId="18AACF71" w:rsidR="0071534A" w:rsidRDefault="00F94D3F">
          <w:pPr>
            <w:pStyle w:val="TOC3"/>
            <w:tabs>
              <w:tab w:val="right" w:leader="dot" w:pos="9350"/>
            </w:tabs>
            <w:rPr>
              <w:rFonts w:asciiTheme="minorHAnsi" w:eastAsiaTheme="minorEastAsia" w:hAnsiTheme="minorHAnsi"/>
              <w:noProof/>
              <w:sz w:val="22"/>
            </w:rPr>
          </w:pPr>
          <w:hyperlink w:anchor="_Toc135396282" w:history="1">
            <w:r w:rsidR="0071534A" w:rsidRPr="00DB7A11">
              <w:rPr>
                <w:rStyle w:val="Hyperlink"/>
                <w:rFonts w:eastAsia="Times New Roman"/>
                <w:noProof/>
                <w:lang w:val="en"/>
              </w:rPr>
              <w:t>D-403-3: Case Reviews</w:t>
            </w:r>
            <w:r w:rsidR="0071534A">
              <w:rPr>
                <w:noProof/>
                <w:webHidden/>
              </w:rPr>
              <w:tab/>
            </w:r>
            <w:r w:rsidR="0071534A">
              <w:rPr>
                <w:noProof/>
                <w:webHidden/>
              </w:rPr>
              <w:fldChar w:fldCharType="begin"/>
            </w:r>
            <w:r w:rsidR="0071534A">
              <w:rPr>
                <w:noProof/>
                <w:webHidden/>
              </w:rPr>
              <w:instrText xml:space="preserve"> PAGEREF _Toc135396282 \h </w:instrText>
            </w:r>
            <w:r w:rsidR="0071534A">
              <w:rPr>
                <w:noProof/>
                <w:webHidden/>
              </w:rPr>
            </w:r>
            <w:r w:rsidR="0071534A">
              <w:rPr>
                <w:noProof/>
                <w:webHidden/>
              </w:rPr>
              <w:fldChar w:fldCharType="separate"/>
            </w:r>
            <w:r w:rsidR="0071534A">
              <w:rPr>
                <w:noProof/>
                <w:webHidden/>
              </w:rPr>
              <w:t>5</w:t>
            </w:r>
            <w:r w:rsidR="0071534A">
              <w:rPr>
                <w:noProof/>
                <w:webHidden/>
              </w:rPr>
              <w:fldChar w:fldCharType="end"/>
            </w:r>
          </w:hyperlink>
        </w:p>
        <w:p w14:paraId="528AAC90" w14:textId="5421AB04" w:rsidR="0071534A" w:rsidRDefault="00F94D3F">
          <w:pPr>
            <w:pStyle w:val="TOC3"/>
            <w:tabs>
              <w:tab w:val="right" w:leader="dot" w:pos="9350"/>
            </w:tabs>
            <w:rPr>
              <w:rFonts w:asciiTheme="minorHAnsi" w:eastAsiaTheme="minorEastAsia" w:hAnsiTheme="minorHAnsi"/>
              <w:noProof/>
              <w:sz w:val="22"/>
            </w:rPr>
          </w:pPr>
          <w:hyperlink w:anchor="_Toc135396283" w:history="1">
            <w:r w:rsidR="0071534A" w:rsidRPr="00DB7A11">
              <w:rPr>
                <w:rStyle w:val="Hyperlink"/>
                <w:rFonts w:eastAsia="Times New Roman"/>
                <w:noProof/>
                <w:lang w:val="en"/>
              </w:rPr>
              <w:t>D-403-4: Risk Management</w:t>
            </w:r>
            <w:r w:rsidR="0071534A">
              <w:rPr>
                <w:noProof/>
                <w:webHidden/>
              </w:rPr>
              <w:tab/>
            </w:r>
            <w:r w:rsidR="0071534A">
              <w:rPr>
                <w:noProof/>
                <w:webHidden/>
              </w:rPr>
              <w:fldChar w:fldCharType="begin"/>
            </w:r>
            <w:r w:rsidR="0071534A">
              <w:rPr>
                <w:noProof/>
                <w:webHidden/>
              </w:rPr>
              <w:instrText xml:space="preserve"> PAGEREF _Toc135396283 \h </w:instrText>
            </w:r>
            <w:r w:rsidR="0071534A">
              <w:rPr>
                <w:noProof/>
                <w:webHidden/>
              </w:rPr>
            </w:r>
            <w:r w:rsidR="0071534A">
              <w:rPr>
                <w:noProof/>
                <w:webHidden/>
              </w:rPr>
              <w:fldChar w:fldCharType="separate"/>
            </w:r>
            <w:r w:rsidR="0071534A">
              <w:rPr>
                <w:noProof/>
                <w:webHidden/>
              </w:rPr>
              <w:t>6</w:t>
            </w:r>
            <w:r w:rsidR="0071534A">
              <w:rPr>
                <w:noProof/>
                <w:webHidden/>
              </w:rPr>
              <w:fldChar w:fldCharType="end"/>
            </w:r>
          </w:hyperlink>
        </w:p>
        <w:p w14:paraId="2D0AFC49" w14:textId="271D665D" w:rsidR="0071534A" w:rsidRDefault="00F94D3F">
          <w:pPr>
            <w:pStyle w:val="TOC3"/>
            <w:tabs>
              <w:tab w:val="right" w:leader="dot" w:pos="9350"/>
            </w:tabs>
            <w:rPr>
              <w:rFonts w:asciiTheme="minorHAnsi" w:eastAsiaTheme="minorEastAsia" w:hAnsiTheme="minorHAnsi"/>
              <w:noProof/>
              <w:sz w:val="22"/>
            </w:rPr>
          </w:pPr>
          <w:hyperlink w:anchor="_Toc135396284" w:history="1">
            <w:r w:rsidR="0071534A" w:rsidRPr="00DB7A11">
              <w:rPr>
                <w:rStyle w:val="Hyperlink"/>
                <w:rFonts w:eastAsia="Times New Roman"/>
                <w:noProof/>
                <w:lang w:val="en"/>
              </w:rPr>
              <w:t>D-403-5: Regulatory Integrity Division</w:t>
            </w:r>
            <w:r w:rsidR="0071534A">
              <w:rPr>
                <w:noProof/>
                <w:webHidden/>
              </w:rPr>
              <w:tab/>
            </w:r>
            <w:r w:rsidR="0071534A">
              <w:rPr>
                <w:noProof/>
                <w:webHidden/>
              </w:rPr>
              <w:fldChar w:fldCharType="begin"/>
            </w:r>
            <w:r w:rsidR="0071534A">
              <w:rPr>
                <w:noProof/>
                <w:webHidden/>
              </w:rPr>
              <w:instrText xml:space="preserve"> PAGEREF _Toc135396284 \h </w:instrText>
            </w:r>
            <w:r w:rsidR="0071534A">
              <w:rPr>
                <w:noProof/>
                <w:webHidden/>
              </w:rPr>
            </w:r>
            <w:r w:rsidR="0071534A">
              <w:rPr>
                <w:noProof/>
                <w:webHidden/>
              </w:rPr>
              <w:fldChar w:fldCharType="separate"/>
            </w:r>
            <w:r w:rsidR="0071534A">
              <w:rPr>
                <w:noProof/>
                <w:webHidden/>
              </w:rPr>
              <w:t>6</w:t>
            </w:r>
            <w:r w:rsidR="0071534A">
              <w:rPr>
                <w:noProof/>
                <w:webHidden/>
              </w:rPr>
              <w:fldChar w:fldCharType="end"/>
            </w:r>
          </w:hyperlink>
        </w:p>
        <w:p w14:paraId="197D4C8C" w14:textId="0D0E0536" w:rsidR="0071534A" w:rsidRDefault="00F94D3F">
          <w:pPr>
            <w:pStyle w:val="TOC3"/>
            <w:tabs>
              <w:tab w:val="right" w:leader="dot" w:pos="9350"/>
            </w:tabs>
            <w:rPr>
              <w:rFonts w:asciiTheme="minorHAnsi" w:eastAsiaTheme="minorEastAsia" w:hAnsiTheme="minorHAnsi"/>
              <w:noProof/>
              <w:sz w:val="22"/>
            </w:rPr>
          </w:pPr>
          <w:hyperlink w:anchor="_Toc135396285" w:history="1">
            <w:r w:rsidR="0071534A" w:rsidRPr="00DB7A11">
              <w:rPr>
                <w:rStyle w:val="Hyperlink"/>
                <w:rFonts w:eastAsia="Times New Roman"/>
                <w:noProof/>
                <w:lang w:val="en"/>
              </w:rPr>
              <w:t>D-403-6: Office of Internal Audit</w:t>
            </w:r>
            <w:r w:rsidR="0071534A">
              <w:rPr>
                <w:noProof/>
                <w:webHidden/>
              </w:rPr>
              <w:tab/>
            </w:r>
            <w:r w:rsidR="0071534A">
              <w:rPr>
                <w:noProof/>
                <w:webHidden/>
              </w:rPr>
              <w:fldChar w:fldCharType="begin"/>
            </w:r>
            <w:r w:rsidR="0071534A">
              <w:rPr>
                <w:noProof/>
                <w:webHidden/>
              </w:rPr>
              <w:instrText xml:space="preserve"> PAGEREF _Toc135396285 \h </w:instrText>
            </w:r>
            <w:r w:rsidR="0071534A">
              <w:rPr>
                <w:noProof/>
                <w:webHidden/>
              </w:rPr>
            </w:r>
            <w:r w:rsidR="0071534A">
              <w:rPr>
                <w:noProof/>
                <w:webHidden/>
              </w:rPr>
              <w:fldChar w:fldCharType="separate"/>
            </w:r>
            <w:r w:rsidR="0071534A">
              <w:rPr>
                <w:noProof/>
                <w:webHidden/>
              </w:rPr>
              <w:t>6</w:t>
            </w:r>
            <w:r w:rsidR="0071534A">
              <w:rPr>
                <w:noProof/>
                <w:webHidden/>
              </w:rPr>
              <w:fldChar w:fldCharType="end"/>
            </w:r>
          </w:hyperlink>
        </w:p>
        <w:p w14:paraId="76EE4A08" w14:textId="415325E2" w:rsidR="0071534A" w:rsidRDefault="00F94D3F">
          <w:pPr>
            <w:pStyle w:val="TOC3"/>
            <w:tabs>
              <w:tab w:val="right" w:leader="dot" w:pos="9350"/>
            </w:tabs>
            <w:rPr>
              <w:rFonts w:asciiTheme="minorHAnsi" w:eastAsiaTheme="minorEastAsia" w:hAnsiTheme="minorHAnsi"/>
              <w:noProof/>
              <w:sz w:val="22"/>
            </w:rPr>
          </w:pPr>
          <w:hyperlink w:anchor="_Toc135396286" w:history="1">
            <w:r w:rsidR="0071534A" w:rsidRPr="00DB7A11">
              <w:rPr>
                <w:rStyle w:val="Hyperlink"/>
                <w:rFonts w:eastAsia="Times New Roman"/>
                <w:noProof/>
                <w:lang w:val="en"/>
              </w:rPr>
              <w:t>D-403-7: Division of Operational Insight</w:t>
            </w:r>
            <w:r w:rsidR="0071534A">
              <w:rPr>
                <w:noProof/>
                <w:webHidden/>
              </w:rPr>
              <w:tab/>
            </w:r>
            <w:r w:rsidR="0071534A">
              <w:rPr>
                <w:noProof/>
                <w:webHidden/>
              </w:rPr>
              <w:fldChar w:fldCharType="begin"/>
            </w:r>
            <w:r w:rsidR="0071534A">
              <w:rPr>
                <w:noProof/>
                <w:webHidden/>
              </w:rPr>
              <w:instrText xml:space="preserve"> PAGEREF _Toc135396286 \h </w:instrText>
            </w:r>
            <w:r w:rsidR="0071534A">
              <w:rPr>
                <w:noProof/>
                <w:webHidden/>
              </w:rPr>
            </w:r>
            <w:r w:rsidR="0071534A">
              <w:rPr>
                <w:noProof/>
                <w:webHidden/>
              </w:rPr>
              <w:fldChar w:fldCharType="separate"/>
            </w:r>
            <w:r w:rsidR="0071534A">
              <w:rPr>
                <w:noProof/>
                <w:webHidden/>
              </w:rPr>
              <w:t>7</w:t>
            </w:r>
            <w:r w:rsidR="0071534A">
              <w:rPr>
                <w:noProof/>
                <w:webHidden/>
              </w:rPr>
              <w:fldChar w:fldCharType="end"/>
            </w:r>
          </w:hyperlink>
        </w:p>
        <w:p w14:paraId="2E9B176F" w14:textId="5D9C8CD2" w:rsidR="0071534A" w:rsidRDefault="00F94D3F">
          <w:pPr>
            <w:pStyle w:val="TOC3"/>
            <w:tabs>
              <w:tab w:val="right" w:leader="dot" w:pos="9350"/>
            </w:tabs>
            <w:rPr>
              <w:rFonts w:asciiTheme="minorHAnsi" w:eastAsiaTheme="minorEastAsia" w:hAnsiTheme="minorHAnsi"/>
              <w:noProof/>
              <w:sz w:val="22"/>
            </w:rPr>
          </w:pPr>
          <w:hyperlink w:anchor="_Toc135396287" w:history="1">
            <w:r w:rsidR="0071534A" w:rsidRPr="00DB7A11">
              <w:rPr>
                <w:rStyle w:val="Hyperlink"/>
                <w:rFonts w:eastAsia="Times New Roman"/>
                <w:noProof/>
                <w:lang w:val="en"/>
              </w:rPr>
              <w:t>D-403-8: Employee Performance and Development</w:t>
            </w:r>
            <w:r w:rsidR="0071534A">
              <w:rPr>
                <w:noProof/>
                <w:webHidden/>
              </w:rPr>
              <w:tab/>
            </w:r>
            <w:r w:rsidR="0071534A">
              <w:rPr>
                <w:noProof/>
                <w:webHidden/>
              </w:rPr>
              <w:fldChar w:fldCharType="begin"/>
            </w:r>
            <w:r w:rsidR="0071534A">
              <w:rPr>
                <w:noProof/>
                <w:webHidden/>
              </w:rPr>
              <w:instrText xml:space="preserve"> PAGEREF _Toc135396287 \h </w:instrText>
            </w:r>
            <w:r w:rsidR="0071534A">
              <w:rPr>
                <w:noProof/>
                <w:webHidden/>
              </w:rPr>
            </w:r>
            <w:r w:rsidR="0071534A">
              <w:rPr>
                <w:noProof/>
                <w:webHidden/>
              </w:rPr>
              <w:fldChar w:fldCharType="separate"/>
            </w:r>
            <w:r w:rsidR="0071534A">
              <w:rPr>
                <w:noProof/>
                <w:webHidden/>
              </w:rPr>
              <w:t>7</w:t>
            </w:r>
            <w:r w:rsidR="0071534A">
              <w:rPr>
                <w:noProof/>
                <w:webHidden/>
              </w:rPr>
              <w:fldChar w:fldCharType="end"/>
            </w:r>
          </w:hyperlink>
        </w:p>
        <w:p w14:paraId="0EDEC0FD" w14:textId="13A7C1FF" w:rsidR="0071534A" w:rsidRDefault="00F94D3F">
          <w:pPr>
            <w:pStyle w:val="TOC2"/>
            <w:tabs>
              <w:tab w:val="right" w:leader="dot" w:pos="9350"/>
            </w:tabs>
            <w:rPr>
              <w:rFonts w:asciiTheme="minorHAnsi" w:eastAsiaTheme="minorEastAsia" w:hAnsiTheme="minorHAnsi"/>
              <w:noProof/>
              <w:sz w:val="22"/>
            </w:rPr>
          </w:pPr>
          <w:hyperlink w:anchor="_Toc135396288" w:history="1">
            <w:r w:rsidR="0071534A" w:rsidRPr="00DB7A11">
              <w:rPr>
                <w:rStyle w:val="Hyperlink"/>
                <w:rFonts w:eastAsia="Times New Roman"/>
                <w:noProof/>
                <w:lang w:val="en"/>
              </w:rPr>
              <w:t>D-404: Internal Controls</w:t>
            </w:r>
            <w:r w:rsidR="0071534A">
              <w:rPr>
                <w:noProof/>
                <w:webHidden/>
              </w:rPr>
              <w:tab/>
            </w:r>
            <w:r w:rsidR="0071534A">
              <w:rPr>
                <w:noProof/>
                <w:webHidden/>
              </w:rPr>
              <w:fldChar w:fldCharType="begin"/>
            </w:r>
            <w:r w:rsidR="0071534A">
              <w:rPr>
                <w:noProof/>
                <w:webHidden/>
              </w:rPr>
              <w:instrText xml:space="preserve"> PAGEREF _Toc135396288 \h </w:instrText>
            </w:r>
            <w:r w:rsidR="0071534A">
              <w:rPr>
                <w:noProof/>
                <w:webHidden/>
              </w:rPr>
            </w:r>
            <w:r w:rsidR="0071534A">
              <w:rPr>
                <w:noProof/>
                <w:webHidden/>
              </w:rPr>
              <w:fldChar w:fldCharType="separate"/>
            </w:r>
            <w:r w:rsidR="0071534A">
              <w:rPr>
                <w:noProof/>
                <w:webHidden/>
              </w:rPr>
              <w:t>7</w:t>
            </w:r>
            <w:r w:rsidR="0071534A">
              <w:rPr>
                <w:noProof/>
                <w:webHidden/>
              </w:rPr>
              <w:fldChar w:fldCharType="end"/>
            </w:r>
          </w:hyperlink>
        </w:p>
        <w:p w14:paraId="129E5E37" w14:textId="5FFF19A2" w:rsidR="0071534A" w:rsidRDefault="00F94D3F">
          <w:pPr>
            <w:pStyle w:val="TOC3"/>
            <w:tabs>
              <w:tab w:val="right" w:leader="dot" w:pos="9350"/>
            </w:tabs>
            <w:rPr>
              <w:rFonts w:asciiTheme="minorHAnsi" w:eastAsiaTheme="minorEastAsia" w:hAnsiTheme="minorHAnsi"/>
              <w:noProof/>
              <w:sz w:val="22"/>
            </w:rPr>
          </w:pPr>
          <w:hyperlink w:anchor="_Toc135396289" w:history="1">
            <w:r w:rsidR="0071534A" w:rsidRPr="00DB7A11">
              <w:rPr>
                <w:rStyle w:val="Hyperlink"/>
                <w:rFonts w:eastAsia="Times New Roman"/>
                <w:noProof/>
                <w:lang w:val="en"/>
              </w:rPr>
              <w:t>D-404-1: Legal Authority and References</w:t>
            </w:r>
            <w:r w:rsidR="0071534A">
              <w:rPr>
                <w:noProof/>
                <w:webHidden/>
              </w:rPr>
              <w:tab/>
            </w:r>
            <w:r w:rsidR="0071534A">
              <w:rPr>
                <w:noProof/>
                <w:webHidden/>
              </w:rPr>
              <w:fldChar w:fldCharType="begin"/>
            </w:r>
            <w:r w:rsidR="0071534A">
              <w:rPr>
                <w:noProof/>
                <w:webHidden/>
              </w:rPr>
              <w:instrText xml:space="preserve"> PAGEREF _Toc135396289 \h </w:instrText>
            </w:r>
            <w:r w:rsidR="0071534A">
              <w:rPr>
                <w:noProof/>
                <w:webHidden/>
              </w:rPr>
            </w:r>
            <w:r w:rsidR="0071534A">
              <w:rPr>
                <w:noProof/>
                <w:webHidden/>
              </w:rPr>
              <w:fldChar w:fldCharType="separate"/>
            </w:r>
            <w:r w:rsidR="0071534A">
              <w:rPr>
                <w:noProof/>
                <w:webHidden/>
              </w:rPr>
              <w:t>8</w:t>
            </w:r>
            <w:r w:rsidR="0071534A">
              <w:rPr>
                <w:noProof/>
                <w:webHidden/>
              </w:rPr>
              <w:fldChar w:fldCharType="end"/>
            </w:r>
          </w:hyperlink>
        </w:p>
        <w:p w14:paraId="60910F36" w14:textId="67446CE2" w:rsidR="0071534A" w:rsidRDefault="00F94D3F">
          <w:pPr>
            <w:pStyle w:val="TOC3"/>
            <w:tabs>
              <w:tab w:val="right" w:leader="dot" w:pos="9350"/>
            </w:tabs>
            <w:rPr>
              <w:rFonts w:asciiTheme="minorHAnsi" w:eastAsiaTheme="minorEastAsia" w:hAnsiTheme="minorHAnsi"/>
              <w:noProof/>
              <w:sz w:val="22"/>
            </w:rPr>
          </w:pPr>
          <w:hyperlink w:anchor="_Toc135396290" w:history="1">
            <w:r w:rsidR="0071534A" w:rsidRPr="00DB7A11">
              <w:rPr>
                <w:rStyle w:val="Hyperlink"/>
                <w:rFonts w:eastAsia="Times New Roman"/>
                <w:noProof/>
                <w:lang w:val="en"/>
              </w:rPr>
              <w:t>D-404-2: What Must Be Covered by Internal Controls</w:t>
            </w:r>
            <w:r w:rsidR="0071534A">
              <w:rPr>
                <w:noProof/>
                <w:webHidden/>
              </w:rPr>
              <w:tab/>
            </w:r>
            <w:r w:rsidR="0071534A">
              <w:rPr>
                <w:noProof/>
                <w:webHidden/>
              </w:rPr>
              <w:fldChar w:fldCharType="begin"/>
            </w:r>
            <w:r w:rsidR="0071534A">
              <w:rPr>
                <w:noProof/>
                <w:webHidden/>
              </w:rPr>
              <w:instrText xml:space="preserve"> PAGEREF _Toc135396290 \h </w:instrText>
            </w:r>
            <w:r w:rsidR="0071534A">
              <w:rPr>
                <w:noProof/>
                <w:webHidden/>
              </w:rPr>
            </w:r>
            <w:r w:rsidR="0071534A">
              <w:rPr>
                <w:noProof/>
                <w:webHidden/>
              </w:rPr>
              <w:fldChar w:fldCharType="separate"/>
            </w:r>
            <w:r w:rsidR="0071534A">
              <w:rPr>
                <w:noProof/>
                <w:webHidden/>
              </w:rPr>
              <w:t>9</w:t>
            </w:r>
            <w:r w:rsidR="0071534A">
              <w:rPr>
                <w:noProof/>
                <w:webHidden/>
              </w:rPr>
              <w:fldChar w:fldCharType="end"/>
            </w:r>
          </w:hyperlink>
        </w:p>
        <w:p w14:paraId="38018367" w14:textId="4CC22DA0" w:rsidR="0071534A" w:rsidRDefault="00F94D3F">
          <w:pPr>
            <w:pStyle w:val="TOC3"/>
            <w:tabs>
              <w:tab w:val="right" w:leader="dot" w:pos="9350"/>
            </w:tabs>
            <w:rPr>
              <w:rFonts w:asciiTheme="minorHAnsi" w:eastAsiaTheme="minorEastAsia" w:hAnsiTheme="minorHAnsi"/>
              <w:noProof/>
              <w:sz w:val="22"/>
            </w:rPr>
          </w:pPr>
          <w:hyperlink w:anchor="_Toc135396291" w:history="1">
            <w:r w:rsidR="0071534A" w:rsidRPr="00DB7A11">
              <w:rPr>
                <w:rStyle w:val="Hyperlink"/>
                <w:rFonts w:eastAsia="Times New Roman"/>
                <w:noProof/>
                <w:lang w:val="en"/>
              </w:rPr>
              <w:t>D-404-3: Internal Controls in ReHabWorks</w:t>
            </w:r>
            <w:r w:rsidR="0071534A">
              <w:rPr>
                <w:noProof/>
                <w:webHidden/>
              </w:rPr>
              <w:tab/>
            </w:r>
            <w:r w:rsidR="0071534A">
              <w:rPr>
                <w:noProof/>
                <w:webHidden/>
              </w:rPr>
              <w:fldChar w:fldCharType="begin"/>
            </w:r>
            <w:r w:rsidR="0071534A">
              <w:rPr>
                <w:noProof/>
                <w:webHidden/>
              </w:rPr>
              <w:instrText xml:space="preserve"> PAGEREF _Toc135396291 \h </w:instrText>
            </w:r>
            <w:r w:rsidR="0071534A">
              <w:rPr>
                <w:noProof/>
                <w:webHidden/>
              </w:rPr>
            </w:r>
            <w:r w:rsidR="0071534A">
              <w:rPr>
                <w:noProof/>
                <w:webHidden/>
              </w:rPr>
              <w:fldChar w:fldCharType="separate"/>
            </w:r>
            <w:r w:rsidR="0071534A">
              <w:rPr>
                <w:noProof/>
                <w:webHidden/>
              </w:rPr>
              <w:t>9</w:t>
            </w:r>
            <w:r w:rsidR="0071534A">
              <w:rPr>
                <w:noProof/>
                <w:webHidden/>
              </w:rPr>
              <w:fldChar w:fldCharType="end"/>
            </w:r>
          </w:hyperlink>
        </w:p>
        <w:p w14:paraId="2D1AD8C4" w14:textId="38D759F4" w:rsidR="0071534A" w:rsidRDefault="00F94D3F">
          <w:pPr>
            <w:pStyle w:val="TOC3"/>
            <w:tabs>
              <w:tab w:val="right" w:leader="dot" w:pos="9350"/>
            </w:tabs>
            <w:rPr>
              <w:rFonts w:asciiTheme="minorHAnsi" w:eastAsiaTheme="minorEastAsia" w:hAnsiTheme="minorHAnsi"/>
              <w:noProof/>
              <w:sz w:val="22"/>
            </w:rPr>
          </w:pPr>
          <w:hyperlink w:anchor="_Toc135396292" w:history="1">
            <w:r w:rsidR="0071534A" w:rsidRPr="00DB7A11">
              <w:rPr>
                <w:rStyle w:val="Hyperlink"/>
                <w:rFonts w:eastAsia="Times New Roman"/>
                <w:noProof/>
                <w:lang w:val="en"/>
              </w:rPr>
              <w:t>D-404-4: Documentation and Data Corrections</w:t>
            </w:r>
            <w:r w:rsidR="0071534A">
              <w:rPr>
                <w:noProof/>
                <w:webHidden/>
              </w:rPr>
              <w:tab/>
            </w:r>
            <w:r w:rsidR="0071534A">
              <w:rPr>
                <w:noProof/>
                <w:webHidden/>
              </w:rPr>
              <w:fldChar w:fldCharType="begin"/>
            </w:r>
            <w:r w:rsidR="0071534A">
              <w:rPr>
                <w:noProof/>
                <w:webHidden/>
              </w:rPr>
              <w:instrText xml:space="preserve"> PAGEREF _Toc135396292 \h </w:instrText>
            </w:r>
            <w:r w:rsidR="0071534A">
              <w:rPr>
                <w:noProof/>
                <w:webHidden/>
              </w:rPr>
            </w:r>
            <w:r w:rsidR="0071534A">
              <w:rPr>
                <w:noProof/>
                <w:webHidden/>
              </w:rPr>
              <w:fldChar w:fldCharType="separate"/>
            </w:r>
            <w:r w:rsidR="0071534A">
              <w:rPr>
                <w:noProof/>
                <w:webHidden/>
              </w:rPr>
              <w:t>10</w:t>
            </w:r>
            <w:r w:rsidR="0071534A">
              <w:rPr>
                <w:noProof/>
                <w:webHidden/>
              </w:rPr>
              <w:fldChar w:fldCharType="end"/>
            </w:r>
          </w:hyperlink>
        </w:p>
        <w:p w14:paraId="574D4917" w14:textId="79FAA294" w:rsidR="0012098C" w:rsidRPr="008448A4" w:rsidRDefault="0012098C">
          <w:r w:rsidRPr="008448A4">
            <w:rPr>
              <w:b/>
              <w:bCs/>
              <w:noProof/>
            </w:rPr>
            <w:fldChar w:fldCharType="end"/>
          </w:r>
        </w:p>
      </w:sdtContent>
    </w:sdt>
    <w:p w14:paraId="5ABF2218" w14:textId="77777777" w:rsidR="009F19B5" w:rsidRPr="008448A4" w:rsidRDefault="009F19B5" w:rsidP="009F19B5">
      <w:pPr>
        <w:rPr>
          <w:lang w:val="en"/>
        </w:rPr>
      </w:pPr>
    </w:p>
    <w:p w14:paraId="1C5C1AA9" w14:textId="77777777" w:rsidR="008556B1" w:rsidRPr="008448A4" w:rsidRDefault="008556B1" w:rsidP="00DF506C">
      <w:pPr>
        <w:pStyle w:val="Heading2"/>
        <w:spacing w:before="0" w:beforeAutospacing="0" w:after="240" w:afterAutospacing="0"/>
        <w:rPr>
          <w:rFonts w:eastAsia="Times New Roman"/>
          <w:lang w:val="en"/>
        </w:rPr>
      </w:pPr>
      <w:bookmarkStart w:id="2" w:name="_Notes_on_the"/>
      <w:bookmarkStart w:id="3" w:name="_Toc135396273"/>
      <w:bookmarkEnd w:id="2"/>
      <w:r w:rsidRPr="008448A4">
        <w:rPr>
          <w:rFonts w:eastAsia="Times New Roman"/>
          <w:lang w:val="en"/>
        </w:rPr>
        <w:t>Notes on the Manual</w:t>
      </w:r>
      <w:bookmarkEnd w:id="3"/>
    </w:p>
    <w:p w14:paraId="14778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On October 1, 2017, Texas Workforce Commission’s Blind Services Division and Rehabilitation Services Division combined to create a single designated </w:t>
      </w:r>
      <w:r w:rsidRPr="008448A4">
        <w:rPr>
          <w:rFonts w:ascii="Verdana" w:hAnsi="Verdana"/>
          <w:lang w:val="en"/>
        </w:rPr>
        <w:lastRenderedPageBreak/>
        <w:t>state unit (DSU) to administer the vocational rehabilitation program for Texans with disabilities.</w:t>
      </w:r>
    </w:p>
    <w:p w14:paraId="490856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Substantive revisions to the content are noted in the VRSM List of Revisions. Any printed versions may not contain the latest policy changes.</w:t>
      </w:r>
    </w:p>
    <w:p w14:paraId="70856978" w14:textId="3122AB46"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you have any questions about VRSM content, please contact the TWC Vocational Rehabilitation Division Policy Team at state office by sending an email message to </w:t>
      </w:r>
      <w:hyperlink r:id="rId9" w:history="1">
        <w:r w:rsidR="00EB3FD0" w:rsidRPr="00B22C2C">
          <w:rPr>
            <w:rStyle w:val="Hyperlink"/>
            <w:rFonts w:ascii="Verdana" w:hAnsi="Verdana"/>
            <w:lang w:val="en"/>
          </w:rPr>
          <w:t>vrsm.support@twc.texas.gov</w:t>
        </w:r>
      </w:hyperlink>
      <w:r w:rsidRPr="008448A4">
        <w:rPr>
          <w:rFonts w:ascii="Verdana" w:hAnsi="Verdana"/>
          <w:lang w:val="en"/>
        </w:rPr>
        <w:t>.</w:t>
      </w:r>
    </w:p>
    <w:p w14:paraId="399A6A65" w14:textId="77777777" w:rsidR="008556B1" w:rsidRPr="008448A4" w:rsidRDefault="008556B1" w:rsidP="00DF506C">
      <w:pPr>
        <w:pStyle w:val="Heading2"/>
        <w:spacing w:before="0" w:beforeAutospacing="0" w:after="240" w:afterAutospacing="0"/>
        <w:rPr>
          <w:rFonts w:eastAsia="Times New Roman"/>
          <w:lang w:val="en"/>
        </w:rPr>
      </w:pPr>
      <w:bookmarkStart w:id="4" w:name="_Manual_Overview"/>
      <w:bookmarkStart w:id="5" w:name="_Toc135396274"/>
      <w:bookmarkEnd w:id="4"/>
      <w:r w:rsidRPr="008448A4">
        <w:rPr>
          <w:rFonts w:eastAsia="Times New Roman"/>
          <w:lang w:val="en"/>
        </w:rPr>
        <w:t>Manual Overview</w:t>
      </w:r>
      <w:bookmarkEnd w:id="5"/>
    </w:p>
    <w:p w14:paraId="73F085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Services Manual:</w:t>
      </w:r>
    </w:p>
    <w:p w14:paraId="6D3E4D0C" w14:textId="77777777" w:rsidR="008556B1" w:rsidRPr="008448A4" w:rsidRDefault="008556B1" w:rsidP="00DF506C">
      <w:pPr>
        <w:numPr>
          <w:ilvl w:val="0"/>
          <w:numId w:val="2"/>
        </w:numPr>
        <w:spacing w:after="240" w:line="240" w:lineRule="auto"/>
        <w:rPr>
          <w:rFonts w:eastAsia="Times New Roman"/>
          <w:lang w:val="en"/>
        </w:rPr>
      </w:pPr>
      <w:r w:rsidRPr="008448A4">
        <w:rPr>
          <w:rFonts w:eastAsia="Times New Roman"/>
          <w:lang w:val="en"/>
        </w:rPr>
        <w:t>helps ensure VR customers receive quality services to assist them in achieving successful competitive integrated employment outcomes as a result of their participation in vocational rehabilitation services.;</w:t>
      </w:r>
    </w:p>
    <w:p w14:paraId="0A1EC591" w14:textId="77777777" w:rsidR="008556B1" w:rsidRPr="008448A4" w:rsidRDefault="008556B1" w:rsidP="00DF506C">
      <w:pPr>
        <w:numPr>
          <w:ilvl w:val="0"/>
          <w:numId w:val="2"/>
        </w:numPr>
        <w:spacing w:after="240" w:line="240" w:lineRule="auto"/>
        <w:rPr>
          <w:rFonts w:eastAsia="Times New Roman"/>
          <w:lang w:val="en"/>
        </w:rPr>
      </w:pPr>
      <w:r w:rsidRPr="008448A4">
        <w:rPr>
          <w:rFonts w:eastAsia="Times New Roman"/>
          <w:lang w:val="en"/>
        </w:rPr>
        <w:t>helps to ensure taxpayer funds are spent wisely and each purchase paid for with public funds represents full value to the taxpayer; and</w:t>
      </w:r>
    </w:p>
    <w:p w14:paraId="598DF70F" w14:textId="77777777" w:rsidR="008556B1" w:rsidRPr="008448A4" w:rsidRDefault="008556B1" w:rsidP="00DF506C">
      <w:pPr>
        <w:numPr>
          <w:ilvl w:val="0"/>
          <w:numId w:val="2"/>
        </w:numPr>
        <w:spacing w:after="240" w:line="240" w:lineRule="auto"/>
        <w:rPr>
          <w:rFonts w:eastAsia="Times New Roman"/>
          <w:lang w:val="en"/>
        </w:rPr>
      </w:pPr>
      <w:r w:rsidRPr="008448A4">
        <w:rPr>
          <w:rFonts w:eastAsia="Times New Roman"/>
          <w:lang w:val="en"/>
        </w:rPr>
        <w:t>provides published policies and procedures for maintaining compliance with federal and state laws, statutes, and rules or regulations.</w:t>
      </w:r>
    </w:p>
    <w:p w14:paraId="364BDACF" w14:textId="48E20BCC" w:rsidR="00721FF8"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latest update to this manual is reflected in the chapters below. Any printed versions may not contain the latest policy changes.</w:t>
      </w:r>
    </w:p>
    <w:p w14:paraId="22EB6ABA" w14:textId="77777777" w:rsidR="00721FF8" w:rsidRDefault="00721FF8">
      <w:pPr>
        <w:spacing w:after="0" w:line="240" w:lineRule="auto"/>
        <w:ind w:left="360"/>
        <w:rPr>
          <w:rFonts w:eastAsiaTheme="minorEastAsia" w:cs="Times New Roman"/>
          <w:szCs w:val="24"/>
          <w:lang w:val="en"/>
        </w:rPr>
      </w:pPr>
      <w:r>
        <w:rPr>
          <w:lang w:val="en"/>
        </w:rPr>
        <w:br w:type="page"/>
      </w:r>
    </w:p>
    <w:p w14:paraId="5016F15B" w14:textId="77777777" w:rsidR="008556B1" w:rsidRPr="008448A4" w:rsidRDefault="008556B1" w:rsidP="00DF506C">
      <w:pPr>
        <w:pStyle w:val="Heading1"/>
        <w:spacing w:before="0" w:beforeAutospacing="0" w:after="240" w:afterAutospacing="0"/>
        <w:rPr>
          <w:rFonts w:eastAsia="Times New Roman"/>
          <w:lang w:val="en"/>
        </w:rPr>
      </w:pPr>
      <w:bookmarkStart w:id="6" w:name="_Vocational_Rehabilitation_Services_2"/>
      <w:bookmarkStart w:id="7" w:name="_Vocational_Rehabilitation_Services_1"/>
      <w:bookmarkStart w:id="8" w:name="_Vocational_Rehabilitation_Services_3"/>
      <w:bookmarkStart w:id="9" w:name="_Vocational_Rehabilitation_Services_4"/>
      <w:bookmarkStart w:id="10" w:name="_Toc135396275"/>
      <w:bookmarkEnd w:id="6"/>
      <w:bookmarkEnd w:id="7"/>
      <w:bookmarkEnd w:id="8"/>
      <w:bookmarkEnd w:id="9"/>
      <w:r w:rsidRPr="008448A4">
        <w:rPr>
          <w:rFonts w:eastAsia="Times New Roman"/>
          <w:lang w:val="en"/>
        </w:rPr>
        <w:lastRenderedPageBreak/>
        <w:t>Vocational Rehabilitation Services Manual D-400: Quality Assurance and Continuous Quality Improvement</w:t>
      </w:r>
      <w:bookmarkEnd w:id="10"/>
    </w:p>
    <w:p w14:paraId="35C98B3A" w14:textId="77777777" w:rsidR="008556B1" w:rsidRPr="008448A4" w:rsidRDefault="008556B1" w:rsidP="00DF506C">
      <w:pPr>
        <w:pStyle w:val="Heading2"/>
        <w:spacing w:before="0" w:beforeAutospacing="0" w:after="240" w:afterAutospacing="0"/>
        <w:rPr>
          <w:rFonts w:eastAsia="Times New Roman"/>
          <w:lang w:val="en"/>
        </w:rPr>
      </w:pPr>
      <w:bookmarkStart w:id="11" w:name="_Toc135396276"/>
      <w:r w:rsidRPr="008448A4">
        <w:rPr>
          <w:rFonts w:eastAsia="Times New Roman"/>
          <w:lang w:val="en"/>
        </w:rPr>
        <w:t>Introduction</w:t>
      </w:r>
      <w:bookmarkEnd w:id="11"/>
    </w:p>
    <w:p w14:paraId="0FEEFFA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Quality Assurance and Continuous Quality Improvement framework implements continuous quality assurance and continuous quality improvement through the use of a mission statement and strategic planning, leadership, communication, customer satisfaction results, data analysis, monitoring, and performance evaluation. The aim of the framework is to achieve compliant, high-quality, consistent outcomes for all Vocational Rehabilitation (VR) stakeholders.</w:t>
      </w:r>
    </w:p>
    <w:p w14:paraId="40FCAECB" w14:textId="77777777" w:rsidR="008556B1" w:rsidRPr="008448A4" w:rsidRDefault="008556B1" w:rsidP="00DF506C">
      <w:pPr>
        <w:pStyle w:val="Heading2"/>
        <w:spacing w:before="0" w:beforeAutospacing="0" w:after="240" w:afterAutospacing="0"/>
        <w:rPr>
          <w:rFonts w:eastAsia="Times New Roman"/>
          <w:lang w:val="en"/>
        </w:rPr>
      </w:pPr>
      <w:bookmarkStart w:id="12" w:name="_Toc135396277"/>
      <w:r w:rsidRPr="008448A4">
        <w:rPr>
          <w:rFonts w:eastAsia="Times New Roman"/>
          <w:lang w:val="en"/>
        </w:rPr>
        <w:t>D-401: Legal Authorization</w:t>
      </w:r>
      <w:bookmarkEnd w:id="12"/>
    </w:p>
    <w:p w14:paraId="38CA895F" w14:textId="77777777" w:rsidR="008556B1" w:rsidRPr="00BD133E" w:rsidRDefault="008556B1" w:rsidP="00BD133E">
      <w:pPr>
        <w:rPr>
          <w:b/>
          <w:bCs/>
          <w:lang w:val="en"/>
        </w:rPr>
      </w:pPr>
      <w:r w:rsidRPr="00BD133E">
        <w:rPr>
          <w:b/>
          <w:bCs/>
          <w:lang w:val="en"/>
        </w:rPr>
        <w:t>2 CFR §200.328(a)</w:t>
      </w:r>
    </w:p>
    <w:p w14:paraId="4D04E35E" w14:textId="77777777" w:rsidR="008556B1" w:rsidRPr="00BD133E" w:rsidRDefault="008556B1" w:rsidP="00BD133E">
      <w:pPr>
        <w:rPr>
          <w:b/>
          <w:bCs/>
          <w:lang w:val="en"/>
        </w:rPr>
      </w:pPr>
      <w:r w:rsidRPr="00BD133E">
        <w:rPr>
          <w:b/>
          <w:bCs/>
          <w:lang w:val="en"/>
        </w:rPr>
        <w:t>Monitoring and reporting program performance</w:t>
      </w:r>
    </w:p>
    <w:p w14:paraId="4F936F8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"Monitoring by the non-Federal entity. The non-Federal entity is responsible for oversight of the operations of the Federal award supported activities. The non-Federal entity must monitor its activities under Federal awards to assure compliance with applicable Federal requirements and performance expectations are being achieved. Monitoring by the non-Federal entity must cover each program, function or activity."</w:t>
      </w:r>
    </w:p>
    <w:p w14:paraId="662A7AD6" w14:textId="77777777" w:rsidR="008556B1" w:rsidRPr="00211C3D" w:rsidRDefault="008556B1" w:rsidP="00211C3D">
      <w:pPr>
        <w:rPr>
          <w:b/>
          <w:bCs/>
          <w:lang w:val="en"/>
        </w:rPr>
      </w:pPr>
      <w:r w:rsidRPr="00211C3D">
        <w:rPr>
          <w:b/>
          <w:bCs/>
          <w:lang w:val="en"/>
        </w:rPr>
        <w:t>2 CFR §200.303</w:t>
      </w:r>
    </w:p>
    <w:p w14:paraId="06B75A0F" w14:textId="77777777" w:rsidR="008556B1" w:rsidRPr="00211C3D" w:rsidRDefault="008556B1" w:rsidP="00211C3D">
      <w:pPr>
        <w:rPr>
          <w:b/>
          <w:bCs/>
          <w:lang w:val="en"/>
        </w:rPr>
      </w:pPr>
      <w:r w:rsidRPr="00211C3D">
        <w:rPr>
          <w:b/>
          <w:bCs/>
          <w:lang w:val="en"/>
        </w:rPr>
        <w:t>Internal controls</w:t>
      </w:r>
    </w:p>
    <w:p w14:paraId="43069DA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non-Federal entity must:</w:t>
      </w:r>
    </w:p>
    <w:p w14:paraId="6FDB165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Establish and maintain effective internal control over the Federal award that provides reasonable assurance that the non-Federal entity is managing the Federal award in compliance with Federal statutes, regulations, and the terms and conditions of the Federal award. These internal controls should be in compliance with guidance in 'Standards for Internal Control in the Federal Government' issued by the Comptroller General of the United States or the "Internal Control Integrated Framework", issued by the Committee of Sponsoring Organizations of the Treadway Commission (COSO).</w:t>
      </w:r>
    </w:p>
    <w:p w14:paraId="42F3E49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 Comply with Federal statutes, regulations, and the terms and conditions of the Federal awards.</w:t>
      </w:r>
    </w:p>
    <w:p w14:paraId="2194389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(c) Evaluate and monitor the non-Federal entity's compliance with statutes, regulations and the terms and conditions of Federal awards.</w:t>
      </w:r>
    </w:p>
    <w:p w14:paraId="4E4AB46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 Take prompt action when instances of noncompliance are identified including noncompliance identified in audit findings.</w:t>
      </w:r>
    </w:p>
    <w:p w14:paraId="22F7567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 Take reasonable measures to safeguard protected personally identifiable information and other information the Federal awarding agency or pass-through entity designates as sensitive or the non-Federal entity considers sensitive consistent with applicable Federal, state, local, and tribal laws regarding privacy and obligations of confidentiality."</w:t>
      </w:r>
    </w:p>
    <w:p w14:paraId="60F0524E" w14:textId="77777777" w:rsidR="008556B1" w:rsidRPr="008448A4" w:rsidRDefault="008556B1" w:rsidP="00DF506C">
      <w:pPr>
        <w:pStyle w:val="Heading2"/>
        <w:spacing w:before="0" w:beforeAutospacing="0" w:after="240" w:afterAutospacing="0"/>
        <w:rPr>
          <w:rFonts w:eastAsia="Times New Roman"/>
          <w:lang w:val="en"/>
        </w:rPr>
      </w:pPr>
      <w:bookmarkStart w:id="13" w:name="_Toc135396278"/>
      <w:r w:rsidRPr="008448A4">
        <w:rPr>
          <w:rFonts w:eastAsia="Times New Roman"/>
          <w:lang w:val="en"/>
        </w:rPr>
        <w:t>D-402: Quality Assurance Policy</w:t>
      </w:r>
      <w:bookmarkEnd w:id="13"/>
    </w:p>
    <w:p w14:paraId="7E92631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Quality assurance and continuous quality improvements require commitment from all levels of service delivery. Oversight functions include elements that are designed to work as a comprehensive system that provides reasonable assurances that agency activities are efficient and effective.</w:t>
      </w:r>
    </w:p>
    <w:p w14:paraId="50F01A4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monitoring and oversight to ensure quality assurance and continuous quality improvement are performed in a variety of ways throughout the Texas Workforce Commission (TWC). The expected outcome is to ensure that VR is in compliance with all applicable laws, regulations, policies, and standards, including the Workforce Innovation and Opportunity Act and its implementing regulations, the Rehabilitation Act and its implementing regulations, agency rules found in 40 Texas Administrative Code, VR policy, and industry best practices.</w:t>
      </w:r>
    </w:p>
    <w:p w14:paraId="262D2D8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Detailed information and resources for VR staff can be found on the Quality Assurance and Quality Improvement (QAQI) intranet page.</w:t>
      </w:r>
    </w:p>
    <w:p w14:paraId="3F16F6C2" w14:textId="77777777" w:rsidR="008556B1" w:rsidRPr="008448A4" w:rsidRDefault="008556B1" w:rsidP="00DF506C">
      <w:pPr>
        <w:pStyle w:val="Heading2"/>
        <w:spacing w:before="0" w:beforeAutospacing="0" w:after="240" w:afterAutospacing="0"/>
        <w:rPr>
          <w:rFonts w:eastAsia="Times New Roman"/>
          <w:lang w:val="en"/>
        </w:rPr>
      </w:pPr>
      <w:bookmarkStart w:id="14" w:name="_Toc135396279"/>
      <w:r w:rsidRPr="008448A4">
        <w:rPr>
          <w:rFonts w:eastAsia="Times New Roman"/>
          <w:lang w:val="en"/>
        </w:rPr>
        <w:t>D-403: Monitoring Processes and Procedures</w:t>
      </w:r>
      <w:bookmarkEnd w:id="14"/>
    </w:p>
    <w:p w14:paraId="6F05413F" w14:textId="77777777" w:rsidR="008556B1" w:rsidRPr="008448A4" w:rsidRDefault="008556B1" w:rsidP="00DF506C">
      <w:pPr>
        <w:pStyle w:val="Heading3"/>
        <w:spacing w:before="0" w:beforeAutospacing="0" w:after="240" w:afterAutospacing="0"/>
        <w:rPr>
          <w:rFonts w:eastAsia="Times New Roman"/>
          <w:lang w:val="en"/>
        </w:rPr>
      </w:pPr>
      <w:bookmarkStart w:id="15" w:name="_Toc135396280"/>
      <w:r w:rsidRPr="008448A4">
        <w:rPr>
          <w:rFonts w:eastAsia="Times New Roman"/>
          <w:lang w:val="en"/>
        </w:rPr>
        <w:t>D-403-1: Operations Monitoring Reviews</w:t>
      </w:r>
      <w:bookmarkEnd w:id="15"/>
    </w:p>
    <w:p w14:paraId="37A506B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Administrative and business requirements are monitored by means of quarterly reviews of division activity and by monitoring the operations of each region. These reviews establish a standardized, documented method for VR to monitor administrative and customer services budgets, purchasing, performance, inventory, and staff. The review process includes the identification of risks, tasks, tolerances, time frames, and the roles and responsibilities of VR staff at the state office, regional offices, and field offices.</w:t>
      </w:r>
    </w:p>
    <w:p w14:paraId="5100A6C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Detailed information and resources for VR staff can be found on the Performance Analysis – Planning and Reporting intranet page.</w:t>
      </w:r>
    </w:p>
    <w:p w14:paraId="210AEE85" w14:textId="77777777" w:rsidR="008556B1" w:rsidRPr="008448A4" w:rsidRDefault="008556B1" w:rsidP="00DF506C">
      <w:pPr>
        <w:pStyle w:val="Heading3"/>
        <w:spacing w:before="0" w:beforeAutospacing="0" w:after="240" w:afterAutospacing="0"/>
        <w:rPr>
          <w:rFonts w:eastAsia="Times New Roman"/>
          <w:lang w:val="en"/>
        </w:rPr>
      </w:pPr>
      <w:bookmarkStart w:id="16" w:name="_Toc135396281"/>
      <w:r w:rsidRPr="008448A4">
        <w:rPr>
          <w:rFonts w:eastAsia="Times New Roman"/>
          <w:lang w:val="en"/>
        </w:rPr>
        <w:t>D-403-2: Monitoring Oversight and Internal Controls</w:t>
      </w:r>
      <w:bookmarkEnd w:id="16"/>
    </w:p>
    <w:p w14:paraId="3B6D301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Monitoring Oversight and Internal Controls (MOSAIC) is a comprehensive, rigorous, and transparent assurance system for program performance oversight at the state, regional, field, and case levels. Policies, procedures, relevant regulations, and processes are reviewed systematically. Plans for improvement are made based on the reviews. The case-review cycle is repeated quarterly to identify deficiencies and implement improvements.</w:t>
      </w:r>
    </w:p>
    <w:p w14:paraId="66D9EE84" w14:textId="224BB2D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Information about risk-ranking, focus areas, guidance for selecting and documenting cases for review, and quarterly reporting requirements is available in the MOSAIC Process Guide</w:t>
      </w:r>
      <w:r w:rsidR="0084735C">
        <w:rPr>
          <w:rFonts w:ascii="Verdana" w:hAnsi="Verdana"/>
          <w:lang w:val="en"/>
        </w:rPr>
        <w:t xml:space="preserve"> on the intranet</w:t>
      </w:r>
      <w:r w:rsidRPr="008448A4">
        <w:rPr>
          <w:rFonts w:ascii="Verdana" w:hAnsi="Verdana"/>
          <w:lang w:val="en"/>
        </w:rPr>
        <w:t>.</w:t>
      </w:r>
    </w:p>
    <w:p w14:paraId="51A01ED6" w14:textId="77777777" w:rsidR="008556B1" w:rsidRPr="008448A4" w:rsidRDefault="008556B1" w:rsidP="00DF506C">
      <w:pPr>
        <w:pStyle w:val="Heading3"/>
        <w:spacing w:before="0" w:beforeAutospacing="0" w:after="240" w:afterAutospacing="0"/>
        <w:rPr>
          <w:rFonts w:eastAsia="Times New Roman"/>
          <w:lang w:val="en"/>
        </w:rPr>
      </w:pPr>
      <w:bookmarkStart w:id="17" w:name="_Toc135396282"/>
      <w:r w:rsidRPr="008448A4">
        <w:rPr>
          <w:rFonts w:eastAsia="Times New Roman"/>
          <w:lang w:val="en"/>
        </w:rPr>
        <w:t>D-403-3: Case Reviews</w:t>
      </w:r>
      <w:bookmarkEnd w:id="17"/>
    </w:p>
    <w:p w14:paraId="06CBCC44" w14:textId="0A7D6E4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VR management teams are required to monitor the services that are provided to VR customers and ensure compliance with published policies and procedures. Case reviews are part of this monitoring.</w:t>
      </w:r>
    </w:p>
    <w:p w14:paraId="5367FBF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Published VR policy and procedure manuals, the MOSAIC Process Guide, and the Quarterly Unit Case Review Plan serve as references for management to identify the type and quantity of required case reviews.</w:t>
      </w:r>
    </w:p>
    <w:p w14:paraId="573ABDA0" w14:textId="03535DA6"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a detailed list of VR manuals and guides, refer to the TWC Online Manuals page</w:t>
      </w:r>
      <w:r w:rsidR="0084735C">
        <w:rPr>
          <w:rFonts w:ascii="Verdana" w:hAnsi="Verdana"/>
          <w:lang w:val="en"/>
        </w:rPr>
        <w:t xml:space="preserve"> on the intranet</w:t>
      </w:r>
      <w:r w:rsidRPr="008448A4">
        <w:rPr>
          <w:rFonts w:ascii="Verdana" w:hAnsi="Verdana"/>
          <w:lang w:val="en"/>
        </w:rPr>
        <w:t>.</w:t>
      </w:r>
    </w:p>
    <w:p w14:paraId="03897D1E"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ReHabWorks</w:t>
      </w:r>
    </w:p>
    <w:p w14:paraId="4C91A12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Case reviews are conducted on case documentation located in ReHabWorks; supporting content is maintained in each customer's paper case file.  Case reviews are documented by the reviewer (or their representative, such as the State Office Program Specialist for Physical Restoration Services) in Texas Review, Oversight, and Coaching System (TxROCS). When a case review is conducted as part of a required review or consultation to approve or deny a specific case action or service, a case note must also be entered in RHW indicating decision that was made as a result of the case review.</w:t>
      </w:r>
    </w:p>
    <w:p w14:paraId="09DFD998" w14:textId="70DC635C"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Information about RHW functionality is documented in the ReHabWorks User Guide </w:t>
      </w:r>
      <w:r w:rsidR="001B1E05">
        <w:rPr>
          <w:rFonts w:ascii="Verdana" w:hAnsi="Verdana"/>
          <w:lang w:val="en"/>
        </w:rPr>
        <w:t xml:space="preserve">located </w:t>
      </w:r>
      <w:r w:rsidR="0084735C">
        <w:rPr>
          <w:rFonts w:ascii="Verdana" w:hAnsi="Verdana"/>
          <w:lang w:val="en"/>
        </w:rPr>
        <w:t xml:space="preserve">on the intranet </w:t>
      </w:r>
      <w:r w:rsidRPr="008448A4">
        <w:rPr>
          <w:rFonts w:ascii="Verdana" w:hAnsi="Verdana"/>
          <w:lang w:val="en"/>
        </w:rPr>
        <w:t>and in the RHW-FAQ's </w:t>
      </w:r>
      <w:r w:rsidR="00EE448D">
        <w:rPr>
          <w:rFonts w:ascii="Verdana" w:hAnsi="Verdana"/>
          <w:lang w:val="en"/>
        </w:rPr>
        <w:t>located on</w:t>
      </w:r>
      <w:r w:rsidRPr="008448A4">
        <w:rPr>
          <w:rFonts w:ascii="Verdana" w:hAnsi="Verdana"/>
          <w:lang w:val="en"/>
        </w:rPr>
        <w:t xml:space="preserve"> the VR SharePoint team site.</w:t>
      </w:r>
    </w:p>
    <w:p w14:paraId="6BAB44D4" w14:textId="77777777" w:rsidR="008556B1" w:rsidRPr="008448A4" w:rsidRDefault="008556B1" w:rsidP="00DF506C">
      <w:pPr>
        <w:pStyle w:val="Heading4"/>
        <w:spacing w:before="0" w:beforeAutospacing="0" w:after="240" w:afterAutospacing="0"/>
        <w:rPr>
          <w:rFonts w:eastAsia="Times New Roman"/>
          <w:lang w:val="en"/>
        </w:rPr>
      </w:pPr>
      <w:r w:rsidRPr="008448A4">
        <w:rPr>
          <w:rFonts w:eastAsia="Times New Roman"/>
          <w:lang w:val="en"/>
        </w:rPr>
        <w:t>Texas Review, Oversight, and Coaching System</w:t>
      </w:r>
    </w:p>
    <w:p w14:paraId="247C6417" w14:textId="37D49E31"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The Texas Review, Oversight, and Coaching System (TxROCS) is the electronic system</w:t>
      </w:r>
      <w:r w:rsidR="00050113">
        <w:rPr>
          <w:rFonts w:ascii="Verdana" w:hAnsi="Verdana"/>
          <w:lang w:val="en"/>
        </w:rPr>
        <w:t xml:space="preserve"> </w:t>
      </w:r>
      <w:r w:rsidR="00050113">
        <w:rPr>
          <w:rFonts w:ascii="Verdana" w:eastAsia="Times New Roman" w:hAnsi="Verdana" w:cs="Arial"/>
          <w:color w:val="000000"/>
        </w:rPr>
        <w:t>within Re</w:t>
      </w:r>
      <w:r w:rsidR="00B9247D">
        <w:rPr>
          <w:rFonts w:ascii="Verdana" w:eastAsia="Times New Roman" w:hAnsi="Verdana" w:cs="Arial"/>
          <w:color w:val="000000"/>
        </w:rPr>
        <w:t>H</w:t>
      </w:r>
      <w:r w:rsidR="00050113">
        <w:rPr>
          <w:rFonts w:ascii="Verdana" w:eastAsia="Times New Roman" w:hAnsi="Verdana" w:cs="Arial"/>
          <w:color w:val="000000"/>
        </w:rPr>
        <w:t>abWorks</w:t>
      </w:r>
      <w:r w:rsidRPr="008448A4">
        <w:rPr>
          <w:rFonts w:ascii="Verdana" w:hAnsi="Verdana"/>
          <w:lang w:val="en"/>
        </w:rPr>
        <w:t xml:space="preserve"> used to capture and organize data from individual customer case reviews that are conducted statewide by TWC-VR management.</w:t>
      </w:r>
    </w:p>
    <w:p w14:paraId="53188F8F" w14:textId="145DC58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Information about TxROCS functionality is documented in the TxROCS User's Guide (Word)</w:t>
      </w:r>
      <w:r w:rsidR="0084735C">
        <w:rPr>
          <w:rFonts w:ascii="Verdana" w:hAnsi="Verdana"/>
          <w:lang w:val="en"/>
        </w:rPr>
        <w:t xml:space="preserve"> on the intranet</w:t>
      </w:r>
      <w:r w:rsidRPr="008448A4">
        <w:rPr>
          <w:rFonts w:ascii="Verdana" w:hAnsi="Verdana"/>
          <w:lang w:val="en"/>
        </w:rPr>
        <w:t>.</w:t>
      </w:r>
    </w:p>
    <w:p w14:paraId="70484C8B" w14:textId="77777777" w:rsidR="008556B1" w:rsidRPr="008448A4" w:rsidRDefault="008556B1" w:rsidP="00DF506C">
      <w:pPr>
        <w:pStyle w:val="Heading3"/>
        <w:spacing w:before="0" w:beforeAutospacing="0" w:after="240" w:afterAutospacing="0"/>
        <w:rPr>
          <w:rFonts w:eastAsia="Times New Roman"/>
          <w:lang w:val="en"/>
        </w:rPr>
      </w:pPr>
      <w:bookmarkStart w:id="18" w:name="_Toc135396283"/>
      <w:r w:rsidRPr="008448A4">
        <w:rPr>
          <w:rFonts w:eastAsia="Times New Roman"/>
          <w:lang w:val="en"/>
        </w:rPr>
        <w:t>D-403-4: Risk Management</w:t>
      </w:r>
      <w:bookmarkEnd w:id="18"/>
    </w:p>
    <w:p w14:paraId="20AD6A6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TWC Risk Management program is a proactive approach to risk management, ensuring that risk-management best practices are embedded in all agency operations. The TWC Risk Management program strives to ensure that agency risks are identified, analyzed, managed, mitigated, and maintained at acceptable levels.</w:t>
      </w:r>
    </w:p>
    <w:p w14:paraId="37D7DFA3" w14:textId="0DAA1FA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information about this program, refer to the TWC Risk Management Plan</w:t>
      </w:r>
      <w:r w:rsidR="0084735C">
        <w:rPr>
          <w:rFonts w:ascii="Verdana" w:hAnsi="Verdana"/>
          <w:lang w:val="en"/>
        </w:rPr>
        <w:t xml:space="preserve"> on the intranet</w:t>
      </w:r>
      <w:r w:rsidRPr="008448A4">
        <w:rPr>
          <w:rFonts w:ascii="Verdana" w:hAnsi="Verdana"/>
          <w:lang w:val="en"/>
        </w:rPr>
        <w:t>.</w:t>
      </w:r>
    </w:p>
    <w:p w14:paraId="6FAB5178" w14:textId="02294B3E" w:rsidR="008556B1" w:rsidRPr="008448A4" w:rsidRDefault="008556B1" w:rsidP="00DF506C">
      <w:pPr>
        <w:pStyle w:val="Heading3"/>
        <w:spacing w:before="0" w:beforeAutospacing="0" w:after="240" w:afterAutospacing="0"/>
        <w:rPr>
          <w:rFonts w:eastAsia="Times New Roman"/>
          <w:lang w:val="en"/>
        </w:rPr>
      </w:pPr>
      <w:bookmarkStart w:id="19" w:name="_Toc135396284"/>
      <w:r w:rsidRPr="008448A4">
        <w:rPr>
          <w:rFonts w:eastAsia="Times New Roman"/>
          <w:lang w:val="en"/>
        </w:rPr>
        <w:t xml:space="preserve">D-403-5: </w:t>
      </w:r>
      <w:bookmarkEnd w:id="19"/>
      <w:r w:rsidR="002C257B">
        <w:rPr>
          <w:rFonts w:eastAsia="Times New Roman"/>
          <w:lang w:val="en"/>
        </w:rPr>
        <w:t>Fraud Deterrence and Compliance Monitoring Division</w:t>
      </w:r>
    </w:p>
    <w:p w14:paraId="1A615FF5" w14:textId="4B8C5C7C"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w:t>
      </w:r>
      <w:r w:rsidR="00E82A84">
        <w:rPr>
          <w:rFonts w:ascii="Verdana" w:hAnsi="Verdana"/>
          <w:lang w:val="en"/>
        </w:rPr>
        <w:t xml:space="preserve">TWC </w:t>
      </w:r>
      <w:r w:rsidR="000654DF">
        <w:rPr>
          <w:rFonts w:ascii="Verdana" w:hAnsi="Verdana"/>
          <w:lang w:val="en"/>
        </w:rPr>
        <w:t>Fraud Deterrence and Compliance Monitoring Division (FDCM)</w:t>
      </w:r>
      <w:r w:rsidRPr="008448A4">
        <w:rPr>
          <w:rFonts w:ascii="Verdana" w:hAnsi="Verdana"/>
          <w:lang w:val="en"/>
        </w:rPr>
        <w:t xml:space="preserve"> is responsible for investigating reports of potential fraud, waste, abuse, and misconduct. </w:t>
      </w:r>
      <w:r w:rsidR="000654DF">
        <w:rPr>
          <w:rFonts w:ascii="Verdana" w:hAnsi="Verdana"/>
          <w:lang w:val="en"/>
        </w:rPr>
        <w:t xml:space="preserve">FDCM </w:t>
      </w:r>
      <w:r w:rsidRPr="008448A4">
        <w:rPr>
          <w:rFonts w:ascii="Verdana" w:hAnsi="Verdana"/>
          <w:lang w:val="en"/>
        </w:rPr>
        <w:t>includes the VR Contract Oversight</w:t>
      </w:r>
      <w:r w:rsidR="00B53708">
        <w:rPr>
          <w:rFonts w:ascii="Verdana" w:hAnsi="Verdana"/>
          <w:lang w:val="en"/>
        </w:rPr>
        <w:t xml:space="preserve"> and Support</w:t>
      </w:r>
      <w:r w:rsidRPr="008448A4">
        <w:rPr>
          <w:rFonts w:ascii="Verdana" w:hAnsi="Verdana"/>
          <w:lang w:val="en"/>
        </w:rPr>
        <w:t xml:space="preserve"> </w:t>
      </w:r>
      <w:r w:rsidR="00A34302">
        <w:rPr>
          <w:rFonts w:ascii="Verdana" w:hAnsi="Verdana"/>
          <w:lang w:val="en"/>
        </w:rPr>
        <w:t>d</w:t>
      </w:r>
      <w:r w:rsidRPr="008448A4">
        <w:rPr>
          <w:rFonts w:ascii="Verdana" w:hAnsi="Verdana"/>
          <w:lang w:val="en"/>
        </w:rPr>
        <w:t>epartment. The mission of the VR Contract Oversight</w:t>
      </w:r>
      <w:r w:rsidR="00A34302">
        <w:rPr>
          <w:rFonts w:ascii="Verdana" w:hAnsi="Verdana"/>
          <w:lang w:val="en"/>
        </w:rPr>
        <w:t xml:space="preserve"> and Support</w:t>
      </w:r>
      <w:r w:rsidRPr="008448A4">
        <w:rPr>
          <w:rFonts w:ascii="Verdana" w:hAnsi="Verdana"/>
          <w:lang w:val="en"/>
        </w:rPr>
        <w:t xml:space="preserve"> </w:t>
      </w:r>
      <w:r w:rsidR="00A34302">
        <w:rPr>
          <w:rFonts w:ascii="Verdana" w:hAnsi="Verdana"/>
          <w:lang w:val="en"/>
        </w:rPr>
        <w:t>d</w:t>
      </w:r>
      <w:r w:rsidRPr="008448A4">
        <w:rPr>
          <w:rFonts w:ascii="Verdana" w:hAnsi="Verdana"/>
          <w:lang w:val="en"/>
        </w:rPr>
        <w:t>epartment is to conduct</w:t>
      </w:r>
      <w:r w:rsidR="00CD7910">
        <w:rPr>
          <w:rFonts w:ascii="Verdana" w:hAnsi="Verdana"/>
          <w:lang w:val="en"/>
        </w:rPr>
        <w:t xml:space="preserve"> remote and</w:t>
      </w:r>
      <w:r w:rsidRPr="008448A4">
        <w:rPr>
          <w:rFonts w:ascii="Verdana" w:hAnsi="Verdana"/>
          <w:lang w:val="en"/>
        </w:rPr>
        <w:t xml:space="preserve"> on-site monitoring and provide oversight of contracted VR customer services. The </w:t>
      </w:r>
      <w:r w:rsidR="00CD7910">
        <w:rPr>
          <w:rFonts w:ascii="Verdana" w:hAnsi="Verdana"/>
          <w:lang w:val="en"/>
        </w:rPr>
        <w:t xml:space="preserve">department </w:t>
      </w:r>
      <w:r w:rsidRPr="008448A4">
        <w:rPr>
          <w:rFonts w:ascii="Verdana" w:hAnsi="Verdana"/>
          <w:lang w:val="en"/>
        </w:rPr>
        <w:t>also performs other services related to and in support of the monitoring function.</w:t>
      </w:r>
    </w:p>
    <w:p w14:paraId="24AAFB1E" w14:textId="3B4EA859"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w:t>
      </w:r>
      <w:r w:rsidR="00F43979">
        <w:rPr>
          <w:rFonts w:ascii="Verdana" w:hAnsi="Verdana"/>
          <w:lang w:val="en"/>
        </w:rPr>
        <w:t>more</w:t>
      </w:r>
      <w:r w:rsidRPr="008448A4">
        <w:rPr>
          <w:rFonts w:ascii="Verdana" w:hAnsi="Verdana"/>
          <w:lang w:val="en"/>
        </w:rPr>
        <w:t xml:space="preserve"> informatio</w:t>
      </w:r>
      <w:r w:rsidR="00F43979">
        <w:rPr>
          <w:rFonts w:ascii="Verdana" w:hAnsi="Verdana"/>
          <w:lang w:val="en"/>
        </w:rPr>
        <w:t>n</w:t>
      </w:r>
      <w:r w:rsidRPr="008448A4">
        <w:rPr>
          <w:rFonts w:ascii="Verdana" w:hAnsi="Verdana"/>
          <w:lang w:val="en"/>
        </w:rPr>
        <w:t xml:space="preserve">, refer to </w:t>
      </w:r>
      <w:r w:rsidR="00E4603E">
        <w:rPr>
          <w:rFonts w:ascii="Verdana" w:hAnsi="Verdana"/>
          <w:lang w:val="en"/>
        </w:rPr>
        <w:t>the Fraud Deterrence and Compliance Monitoring SharePoint site on the</w:t>
      </w:r>
      <w:r w:rsidR="0084735C">
        <w:rPr>
          <w:rFonts w:ascii="Verdana" w:hAnsi="Verdana"/>
          <w:lang w:val="en"/>
        </w:rPr>
        <w:t xml:space="preserve"> intranet</w:t>
      </w:r>
      <w:r w:rsidRPr="008448A4">
        <w:rPr>
          <w:rFonts w:ascii="Verdana" w:hAnsi="Verdana"/>
          <w:lang w:val="en"/>
        </w:rPr>
        <w:t>.</w:t>
      </w:r>
    </w:p>
    <w:p w14:paraId="4E7081D1" w14:textId="77777777" w:rsidR="008556B1" w:rsidRPr="008448A4" w:rsidRDefault="008556B1" w:rsidP="00DF506C">
      <w:pPr>
        <w:pStyle w:val="Heading3"/>
        <w:spacing w:before="0" w:beforeAutospacing="0" w:after="240" w:afterAutospacing="0"/>
        <w:rPr>
          <w:rFonts w:eastAsia="Times New Roman"/>
          <w:lang w:val="en"/>
        </w:rPr>
      </w:pPr>
      <w:bookmarkStart w:id="20" w:name="_Toc135396285"/>
      <w:r w:rsidRPr="008448A4">
        <w:rPr>
          <w:rFonts w:eastAsia="Times New Roman"/>
          <w:lang w:val="en"/>
        </w:rPr>
        <w:t>D-403-6: Office of Internal Audit</w:t>
      </w:r>
      <w:bookmarkEnd w:id="20"/>
    </w:p>
    <w:p w14:paraId="4D31198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Office of Internal Audit is an independent assurance and consulting function that uses a systematic approach to evaluate and improve the effectiveness of TWC's risk management, control, and governance processes. The Office of Internal Audit's activities are designed to provide TWC's three-member Commission and executive management with independent assurances regarding the integrity of TWC's financial and operational information, the effectiveness and efficiency of operations, the safeguarding of assets, and TWC's compliance with applicable laws and regulations.</w:t>
      </w:r>
    </w:p>
    <w:p w14:paraId="6FADFBE7" w14:textId="2830396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For detailed information, refer to the TWC Office of Internal Audit</w:t>
      </w:r>
      <w:r w:rsidR="0084735C">
        <w:rPr>
          <w:rFonts w:ascii="Verdana" w:hAnsi="Verdana"/>
          <w:lang w:val="en"/>
        </w:rPr>
        <w:t xml:space="preserve"> on the intranet</w:t>
      </w:r>
      <w:r w:rsidRPr="008448A4">
        <w:rPr>
          <w:rFonts w:ascii="Verdana" w:hAnsi="Verdana"/>
          <w:lang w:val="en"/>
        </w:rPr>
        <w:t>.</w:t>
      </w:r>
    </w:p>
    <w:p w14:paraId="00A5CA47" w14:textId="77777777" w:rsidR="008556B1" w:rsidRPr="008448A4" w:rsidRDefault="008556B1" w:rsidP="00DF506C">
      <w:pPr>
        <w:pStyle w:val="Heading3"/>
        <w:spacing w:before="0" w:beforeAutospacing="0" w:after="240" w:afterAutospacing="0"/>
        <w:rPr>
          <w:rFonts w:eastAsia="Times New Roman"/>
          <w:lang w:val="en"/>
        </w:rPr>
      </w:pPr>
      <w:bookmarkStart w:id="21" w:name="_Toc135396286"/>
      <w:r w:rsidRPr="008448A4">
        <w:rPr>
          <w:rFonts w:eastAsia="Times New Roman"/>
          <w:lang w:val="en"/>
        </w:rPr>
        <w:t>D-403-7: Division of Operational Insight</w:t>
      </w:r>
      <w:bookmarkEnd w:id="21"/>
    </w:p>
    <w:p w14:paraId="734DB4E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Division of Operational Insight (DOI) is responsible for evaluating operational, programmatic, and outcome data to provide information that TWC and its partners can use to improve quality throughput and efficiency to better meet the needs of employers and workers in Texas. DOI's mission is to deliver timely, relevant, consistent, and actionable information to allow early and informed decision making and to help transform TWC into an evidenced-based learning organization.</w:t>
      </w:r>
    </w:p>
    <w:p w14:paraId="0722A53E" w14:textId="7876A6A9"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detailed information, refer to the TWC Division of Operational Insight</w:t>
      </w:r>
      <w:r w:rsidR="0084735C">
        <w:rPr>
          <w:rFonts w:ascii="Verdana" w:hAnsi="Verdana"/>
          <w:lang w:val="en"/>
        </w:rPr>
        <w:t xml:space="preserve"> on the intranet</w:t>
      </w:r>
      <w:r w:rsidRPr="008448A4">
        <w:rPr>
          <w:rFonts w:ascii="Verdana" w:hAnsi="Verdana"/>
          <w:lang w:val="en"/>
        </w:rPr>
        <w:t>.</w:t>
      </w:r>
    </w:p>
    <w:p w14:paraId="572A02EE" w14:textId="77777777" w:rsidR="008556B1" w:rsidRPr="008448A4" w:rsidRDefault="008556B1" w:rsidP="00DF506C">
      <w:pPr>
        <w:pStyle w:val="Heading3"/>
        <w:spacing w:before="0" w:beforeAutospacing="0" w:after="240" w:afterAutospacing="0"/>
        <w:rPr>
          <w:rFonts w:eastAsia="Times New Roman"/>
          <w:lang w:val="en"/>
        </w:rPr>
      </w:pPr>
      <w:bookmarkStart w:id="22" w:name="_Toc135396287"/>
      <w:r w:rsidRPr="008448A4">
        <w:rPr>
          <w:rFonts w:eastAsia="Times New Roman"/>
          <w:lang w:val="en"/>
        </w:rPr>
        <w:t>D-403-8: Employee Performance and Development</w:t>
      </w:r>
      <w:bookmarkEnd w:id="22"/>
    </w:p>
    <w:p w14:paraId="01BF424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Enhancing the skills and knowledge of TWC employees is vital to expanding and improving VR services. The Human Resources Department is responsible for TWC's day-to-day operations with respect to its employees. The Training and Development Department helps enhance employee workplace skills and productivity through the development, coordination, and delivery of learning opportunities and human resource development systems.</w:t>
      </w:r>
    </w:p>
    <w:p w14:paraId="215E3ACB" w14:textId="290BE59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detailed information, refer to the TWC Training and Development Department</w:t>
      </w:r>
      <w:r w:rsidR="0084735C">
        <w:rPr>
          <w:rFonts w:ascii="Verdana" w:hAnsi="Verdana"/>
          <w:lang w:val="en"/>
        </w:rPr>
        <w:t xml:space="preserve"> on the intranet</w:t>
      </w:r>
      <w:r w:rsidRPr="008448A4">
        <w:rPr>
          <w:rFonts w:ascii="Verdana" w:hAnsi="Verdana"/>
          <w:lang w:val="en"/>
        </w:rPr>
        <w:t>.</w:t>
      </w:r>
    </w:p>
    <w:p w14:paraId="6BD94CDA" w14:textId="77777777" w:rsidR="008556B1" w:rsidRPr="008448A4" w:rsidRDefault="008556B1" w:rsidP="00DF506C">
      <w:pPr>
        <w:pStyle w:val="Heading2"/>
        <w:spacing w:before="0" w:beforeAutospacing="0" w:after="240" w:afterAutospacing="0"/>
        <w:rPr>
          <w:rFonts w:eastAsia="Times New Roman"/>
          <w:lang w:val="en"/>
        </w:rPr>
      </w:pPr>
      <w:bookmarkStart w:id="23" w:name="_Toc135396288"/>
      <w:r w:rsidRPr="008448A4">
        <w:rPr>
          <w:rFonts w:eastAsia="Times New Roman"/>
          <w:lang w:val="en"/>
        </w:rPr>
        <w:t>D-404: Internal Controls</w:t>
      </w:r>
      <w:bookmarkEnd w:id="23"/>
    </w:p>
    <w:p w14:paraId="0A66356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An internal control is a process that helps an entity to achieve its objectives and safeguard public resources as an integral part of every aspect of business.</w:t>
      </w:r>
    </w:p>
    <w:p w14:paraId="0E1C04D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the Vocational Rehabilitation Division (VRD), internal controls are one of the mechanisms that help provide reasonable assurances regarding the achievement of VR objectives in the following categories:</w:t>
      </w:r>
    </w:p>
    <w:p w14:paraId="63F28412" w14:textId="77777777" w:rsidR="008556B1" w:rsidRPr="008448A4" w:rsidRDefault="008556B1" w:rsidP="00DF506C">
      <w:pPr>
        <w:numPr>
          <w:ilvl w:val="0"/>
          <w:numId w:val="1389"/>
        </w:numPr>
        <w:spacing w:after="240" w:line="240" w:lineRule="auto"/>
        <w:rPr>
          <w:rFonts w:eastAsia="Times New Roman"/>
          <w:lang w:val="en"/>
        </w:rPr>
      </w:pPr>
      <w:r w:rsidRPr="008448A4">
        <w:rPr>
          <w:rFonts w:eastAsia="Times New Roman"/>
          <w:lang w:val="en"/>
        </w:rPr>
        <w:t>Effectiveness and efficiency of daily operations to produce the intended results in a manner that minimizes the waste of resources</w:t>
      </w:r>
    </w:p>
    <w:p w14:paraId="69C189D1" w14:textId="77777777" w:rsidR="008556B1" w:rsidRPr="008448A4" w:rsidRDefault="008556B1" w:rsidP="00DF506C">
      <w:pPr>
        <w:numPr>
          <w:ilvl w:val="0"/>
          <w:numId w:val="1389"/>
        </w:numPr>
        <w:spacing w:after="240" w:line="240" w:lineRule="auto"/>
        <w:rPr>
          <w:rFonts w:eastAsia="Times New Roman"/>
          <w:lang w:val="en"/>
        </w:rPr>
      </w:pPr>
      <w:r w:rsidRPr="008448A4">
        <w:rPr>
          <w:rFonts w:eastAsia="Times New Roman"/>
          <w:lang w:val="en"/>
        </w:rPr>
        <w:t>Reliability of reporting for internal and external use in support of decision-making and for program performance evaluation</w:t>
      </w:r>
    </w:p>
    <w:p w14:paraId="40D10A9E" w14:textId="77777777" w:rsidR="008556B1" w:rsidRPr="008448A4" w:rsidRDefault="008556B1" w:rsidP="00DF506C">
      <w:pPr>
        <w:numPr>
          <w:ilvl w:val="0"/>
          <w:numId w:val="1389"/>
        </w:numPr>
        <w:spacing w:after="240" w:line="240" w:lineRule="auto"/>
        <w:rPr>
          <w:rFonts w:eastAsia="Times New Roman"/>
          <w:lang w:val="en"/>
        </w:rPr>
      </w:pPr>
      <w:r w:rsidRPr="008448A4">
        <w:rPr>
          <w:rFonts w:eastAsia="Times New Roman"/>
          <w:lang w:val="en"/>
        </w:rPr>
        <w:lastRenderedPageBreak/>
        <w:t>Alignment of VRD policy, procedure, and performance accountability supports and ensures successful program compliance with applicable laws and regulations</w:t>
      </w:r>
    </w:p>
    <w:p w14:paraId="2E91144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VRD must establish and maintain internal control processes necessary to ensure our ability to comply with federal grants, law, and regulations.</w:t>
      </w:r>
    </w:p>
    <w:p w14:paraId="0EC2FF0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Types of internal controls used by VRD include the following: </w:t>
      </w:r>
    </w:p>
    <w:p w14:paraId="69BF2561" w14:textId="77777777" w:rsidR="008556B1" w:rsidRPr="008448A4" w:rsidRDefault="008556B1" w:rsidP="00DF506C">
      <w:pPr>
        <w:numPr>
          <w:ilvl w:val="0"/>
          <w:numId w:val="1390"/>
        </w:numPr>
        <w:spacing w:after="240" w:line="240" w:lineRule="auto"/>
        <w:rPr>
          <w:rFonts w:eastAsia="Times New Roman"/>
          <w:lang w:val="en"/>
        </w:rPr>
      </w:pPr>
      <w:r w:rsidRPr="008448A4">
        <w:rPr>
          <w:rFonts w:eastAsia="Times New Roman"/>
          <w:lang w:val="en"/>
        </w:rPr>
        <w:t>Separation of Duties: More than one individual is needed to complete a process or series of steps.</w:t>
      </w:r>
    </w:p>
    <w:p w14:paraId="6509F904" w14:textId="77777777" w:rsidR="008556B1" w:rsidRPr="008448A4" w:rsidRDefault="008556B1" w:rsidP="00DF506C">
      <w:pPr>
        <w:numPr>
          <w:ilvl w:val="0"/>
          <w:numId w:val="1390"/>
        </w:numPr>
        <w:spacing w:after="240" w:line="240" w:lineRule="auto"/>
        <w:rPr>
          <w:rFonts w:eastAsia="Times New Roman"/>
          <w:lang w:val="en"/>
        </w:rPr>
      </w:pPr>
      <w:r w:rsidRPr="008448A4">
        <w:rPr>
          <w:rFonts w:eastAsia="Times New Roman"/>
          <w:lang w:val="en"/>
        </w:rPr>
        <w:t>Access Controls: Staff members are limited to their user-specific roles within ReHabWorks (RHW).</w:t>
      </w:r>
    </w:p>
    <w:p w14:paraId="4AA2F52E" w14:textId="77777777" w:rsidR="008556B1" w:rsidRPr="008448A4" w:rsidRDefault="008556B1" w:rsidP="00DF506C">
      <w:pPr>
        <w:numPr>
          <w:ilvl w:val="0"/>
          <w:numId w:val="1390"/>
        </w:numPr>
        <w:spacing w:after="240" w:line="240" w:lineRule="auto"/>
        <w:rPr>
          <w:rFonts w:eastAsia="Times New Roman"/>
          <w:lang w:val="en"/>
        </w:rPr>
      </w:pPr>
      <w:r w:rsidRPr="008448A4">
        <w:rPr>
          <w:rFonts w:eastAsia="Times New Roman"/>
          <w:lang w:val="en"/>
        </w:rPr>
        <w:t>Internal Audits: Internal Audit conducts audits of various aspects of the VR service delivery process to ensure compliance with policy and procedures.</w:t>
      </w:r>
    </w:p>
    <w:p w14:paraId="68A4C0AC" w14:textId="77777777" w:rsidR="008556B1" w:rsidRPr="008448A4" w:rsidRDefault="008556B1" w:rsidP="00DF506C">
      <w:pPr>
        <w:numPr>
          <w:ilvl w:val="0"/>
          <w:numId w:val="1390"/>
        </w:numPr>
        <w:spacing w:after="240" w:line="240" w:lineRule="auto"/>
        <w:rPr>
          <w:rFonts w:eastAsia="Times New Roman"/>
          <w:lang w:val="en"/>
        </w:rPr>
      </w:pPr>
      <w:r w:rsidRPr="008448A4">
        <w:rPr>
          <w:rFonts w:eastAsia="Times New Roman"/>
          <w:lang w:val="en"/>
        </w:rPr>
        <w:t>Standardized Documentation: VRD processes are documented and available to staff via the VRSM, guidance memos, and documented standard operating procedures.</w:t>
      </w:r>
    </w:p>
    <w:p w14:paraId="138073F5" w14:textId="77777777" w:rsidR="008556B1" w:rsidRPr="008448A4" w:rsidRDefault="008556B1" w:rsidP="00DF506C">
      <w:pPr>
        <w:numPr>
          <w:ilvl w:val="0"/>
          <w:numId w:val="1390"/>
        </w:numPr>
        <w:spacing w:after="240" w:line="240" w:lineRule="auto"/>
        <w:rPr>
          <w:rFonts w:eastAsia="Times New Roman"/>
          <w:lang w:val="en"/>
        </w:rPr>
      </w:pPr>
      <w:r w:rsidRPr="008448A4">
        <w:rPr>
          <w:rFonts w:eastAsia="Times New Roman"/>
          <w:lang w:val="en"/>
        </w:rPr>
        <w:t>Periodic Reconciliations: Budget checking of service authorizations ensures availability of funds and helps with budget management.</w:t>
      </w:r>
    </w:p>
    <w:p w14:paraId="41ED3FF1" w14:textId="77777777" w:rsidR="008556B1" w:rsidRPr="008448A4" w:rsidRDefault="008556B1" w:rsidP="00DF506C">
      <w:pPr>
        <w:numPr>
          <w:ilvl w:val="0"/>
          <w:numId w:val="1390"/>
        </w:numPr>
        <w:spacing w:after="240" w:line="240" w:lineRule="auto"/>
        <w:rPr>
          <w:rFonts w:eastAsia="Times New Roman"/>
          <w:lang w:val="en"/>
        </w:rPr>
      </w:pPr>
      <w:r w:rsidRPr="008448A4">
        <w:rPr>
          <w:rFonts w:eastAsia="Times New Roman"/>
          <w:lang w:val="en"/>
        </w:rPr>
        <w:t>Approval Authority: Authorization is required for the provision or purchase of services and must be appropriately documented in the customer's case file.</w:t>
      </w:r>
    </w:p>
    <w:p w14:paraId="45BAD465" w14:textId="77777777" w:rsidR="008556B1" w:rsidRPr="008448A4" w:rsidRDefault="008556B1" w:rsidP="00DF506C">
      <w:pPr>
        <w:pStyle w:val="Heading3"/>
        <w:spacing w:before="0" w:beforeAutospacing="0" w:after="240" w:afterAutospacing="0"/>
        <w:rPr>
          <w:rFonts w:eastAsia="Times New Roman"/>
          <w:lang w:val="en"/>
        </w:rPr>
      </w:pPr>
      <w:bookmarkStart w:id="24" w:name="_Toc135396289"/>
      <w:r w:rsidRPr="008448A4">
        <w:rPr>
          <w:rFonts w:eastAsia="Times New Roman"/>
          <w:lang w:val="en"/>
        </w:rPr>
        <w:t>D-404-1: Legal Authority and References</w:t>
      </w:r>
      <w:bookmarkEnd w:id="24"/>
    </w:p>
    <w:p w14:paraId="2B730A5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Pursuant to requirements for the implementation, operation, and administration of the VR program in accordance with 34 Code of Federal Regulations (CFR) §§361.12, 361.47, and 361.56, and 2 CFR §§200.61, 200.302, and 200.303, internal controls are implemented by VRD to ensure accurate data collection, appropriate data documentation, and financial accountability.</w:t>
      </w:r>
    </w:p>
    <w:p w14:paraId="7760C22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US Government Accountability Office's Standards for Internal Control in the Federal Government, or the "Green Book," sets the standards for an effective internal control system for federal agencies. </w:t>
      </w:r>
    </w:p>
    <w:p w14:paraId="56048F55" w14:textId="78358ED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reference the Green Book at </w:t>
      </w:r>
      <w:hyperlink r:id="rId10" w:history="1">
        <w:r w:rsidRPr="0084735C">
          <w:rPr>
            <w:rStyle w:val="Hyperlink"/>
            <w:rFonts w:ascii="Verdana" w:hAnsi="Verdana"/>
            <w:lang w:val="en"/>
          </w:rPr>
          <w:t>https://www.gao.gov/greenbook/overview</w:t>
        </w:r>
      </w:hyperlink>
      <w:r w:rsidRPr="008448A4">
        <w:rPr>
          <w:rFonts w:ascii="Verdana" w:hAnsi="Verdana"/>
          <w:lang w:val="en"/>
        </w:rPr>
        <w:t>.</w:t>
      </w:r>
    </w:p>
    <w:p w14:paraId="07FB88D3" w14:textId="250CBF06"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For Rehabilitation Services Administration guidance and additional supporting information on Internal Controls, reference </w:t>
      </w:r>
      <w:hyperlink r:id="rId11" w:history="1">
        <w:r w:rsidRPr="0084735C">
          <w:rPr>
            <w:rStyle w:val="Hyperlink"/>
            <w:rFonts w:ascii="Verdana" w:hAnsi="Verdana"/>
            <w:lang w:val="en"/>
          </w:rPr>
          <w:t>https://www2.ed.gov/policy/fund/guid/uniform-guidance/internal-controls.html</w:t>
        </w:r>
      </w:hyperlink>
      <w:r w:rsidRPr="008448A4">
        <w:rPr>
          <w:rFonts w:ascii="Verdana" w:hAnsi="Verdana"/>
          <w:lang w:val="en"/>
        </w:rPr>
        <w:t>.</w:t>
      </w:r>
    </w:p>
    <w:p w14:paraId="57BCAB11" w14:textId="77777777" w:rsidR="008556B1" w:rsidRPr="008448A4" w:rsidRDefault="008556B1" w:rsidP="00DF506C">
      <w:pPr>
        <w:pStyle w:val="Heading3"/>
        <w:spacing w:before="0" w:beforeAutospacing="0" w:after="240" w:afterAutospacing="0"/>
        <w:rPr>
          <w:rFonts w:eastAsia="Times New Roman"/>
          <w:lang w:val="en"/>
        </w:rPr>
      </w:pPr>
      <w:bookmarkStart w:id="25" w:name="_Toc135396290"/>
      <w:r w:rsidRPr="008448A4">
        <w:rPr>
          <w:rFonts w:eastAsia="Times New Roman"/>
          <w:lang w:val="en"/>
        </w:rPr>
        <w:t>D-404-2: What Must Be Covered by Internal Controls</w:t>
      </w:r>
      <w:bookmarkEnd w:id="25"/>
    </w:p>
    <w:p w14:paraId="7BFB8FA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following are examples of how internal controls apply to VR:</w:t>
      </w:r>
    </w:p>
    <w:p w14:paraId="7CC2E9C2" w14:textId="77777777" w:rsidR="008556B1" w:rsidRPr="008448A4" w:rsidRDefault="008556B1" w:rsidP="00DF506C">
      <w:pPr>
        <w:numPr>
          <w:ilvl w:val="0"/>
          <w:numId w:val="1391"/>
        </w:numPr>
        <w:spacing w:after="240" w:line="240" w:lineRule="auto"/>
        <w:rPr>
          <w:rFonts w:eastAsia="Times New Roman"/>
          <w:lang w:val="en"/>
        </w:rPr>
      </w:pPr>
      <w:r w:rsidRPr="008448A4">
        <w:rPr>
          <w:rFonts w:eastAsia="Times New Roman"/>
          <w:lang w:val="en"/>
        </w:rPr>
        <w:t>We must ensure that our data entry in RHW accurately collects the information necessary to support federal reporting.</w:t>
      </w:r>
    </w:p>
    <w:p w14:paraId="5C8EAD7D" w14:textId="77777777" w:rsidR="008556B1" w:rsidRPr="008448A4" w:rsidRDefault="008556B1" w:rsidP="00DF506C">
      <w:pPr>
        <w:numPr>
          <w:ilvl w:val="0"/>
          <w:numId w:val="1391"/>
        </w:numPr>
        <w:spacing w:after="240" w:line="240" w:lineRule="auto"/>
        <w:rPr>
          <w:rFonts w:eastAsia="Times New Roman"/>
          <w:lang w:val="en"/>
        </w:rPr>
      </w:pPr>
      <w:r w:rsidRPr="008448A4">
        <w:rPr>
          <w:rFonts w:eastAsia="Times New Roman"/>
          <w:lang w:val="en"/>
        </w:rPr>
        <w:t>We must ensure that VR staff members complete training necessary to ensure the collection and reporting of the required data.</w:t>
      </w:r>
    </w:p>
    <w:p w14:paraId="68A2718B" w14:textId="77777777" w:rsidR="008556B1" w:rsidRPr="008448A4" w:rsidRDefault="008556B1" w:rsidP="00DF506C">
      <w:pPr>
        <w:numPr>
          <w:ilvl w:val="0"/>
          <w:numId w:val="1391"/>
        </w:numPr>
        <w:spacing w:after="240" w:line="240" w:lineRule="auto"/>
        <w:rPr>
          <w:rFonts w:eastAsia="Times New Roman"/>
          <w:lang w:val="en"/>
        </w:rPr>
      </w:pPr>
      <w:r w:rsidRPr="008448A4">
        <w:rPr>
          <w:rFonts w:eastAsia="Times New Roman"/>
          <w:lang w:val="en"/>
        </w:rPr>
        <w:t>We must use internal control processes to ensure the accuracy and validity of the data.</w:t>
      </w:r>
    </w:p>
    <w:p w14:paraId="3AEAD93B" w14:textId="77777777" w:rsidR="008556B1" w:rsidRPr="008448A4" w:rsidRDefault="008556B1" w:rsidP="00DF506C">
      <w:pPr>
        <w:pStyle w:val="Heading3"/>
        <w:spacing w:before="0" w:beforeAutospacing="0" w:after="240" w:afterAutospacing="0"/>
        <w:rPr>
          <w:rFonts w:eastAsia="Times New Roman"/>
          <w:lang w:val="en"/>
        </w:rPr>
      </w:pPr>
      <w:bookmarkStart w:id="26" w:name="_Toc135396291"/>
      <w:r w:rsidRPr="008448A4">
        <w:rPr>
          <w:rFonts w:eastAsia="Times New Roman"/>
          <w:lang w:val="en"/>
        </w:rPr>
        <w:t>D-404-3: Internal Controls in ReHabWorks</w:t>
      </w:r>
      <w:bookmarkEnd w:id="26"/>
    </w:p>
    <w:p w14:paraId="5E9C905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following are examples of the application of internal controls to the VR process in RHW:</w:t>
      </w:r>
    </w:p>
    <w:p w14:paraId="37592BC6" w14:textId="77777777" w:rsidR="008556B1" w:rsidRPr="008448A4" w:rsidRDefault="008556B1" w:rsidP="00DF506C">
      <w:pPr>
        <w:numPr>
          <w:ilvl w:val="0"/>
          <w:numId w:val="1392"/>
        </w:numPr>
        <w:spacing w:after="240" w:line="240" w:lineRule="auto"/>
        <w:rPr>
          <w:rFonts w:eastAsia="Times New Roman"/>
          <w:lang w:val="en"/>
        </w:rPr>
      </w:pPr>
      <w:r w:rsidRPr="008448A4">
        <w:rPr>
          <w:rFonts w:eastAsia="Times New Roman"/>
          <w:lang w:val="en"/>
        </w:rPr>
        <w:t>In the Application Process, completion of the Monthly Financial information is required as a prerequisite to accessing the Application Signature page.</w:t>
      </w:r>
    </w:p>
    <w:p w14:paraId="72F1152E" w14:textId="77777777" w:rsidR="008556B1" w:rsidRPr="008448A4" w:rsidRDefault="008556B1" w:rsidP="00DF506C">
      <w:pPr>
        <w:numPr>
          <w:ilvl w:val="0"/>
          <w:numId w:val="1392"/>
        </w:numPr>
        <w:spacing w:after="240" w:line="240" w:lineRule="auto"/>
        <w:rPr>
          <w:rFonts w:eastAsia="Times New Roman"/>
          <w:lang w:val="en"/>
        </w:rPr>
      </w:pPr>
      <w:r w:rsidRPr="008448A4">
        <w:rPr>
          <w:rFonts w:eastAsia="Times New Roman"/>
          <w:lang w:val="en"/>
        </w:rPr>
        <w:t>Edits on the Monthly Financial page help to ensure that basic living requirements (BLR) are addressed with the customer and properly documented.</w:t>
      </w:r>
    </w:p>
    <w:p w14:paraId="25C68624" w14:textId="77777777" w:rsidR="008556B1" w:rsidRPr="008448A4" w:rsidRDefault="008556B1" w:rsidP="00DF506C">
      <w:pPr>
        <w:numPr>
          <w:ilvl w:val="0"/>
          <w:numId w:val="1392"/>
        </w:numPr>
        <w:spacing w:after="240" w:line="240" w:lineRule="auto"/>
        <w:rPr>
          <w:rFonts w:eastAsia="Times New Roman"/>
          <w:lang w:val="en"/>
        </w:rPr>
      </w:pPr>
      <w:r w:rsidRPr="008448A4">
        <w:rPr>
          <w:rFonts w:eastAsia="Times New Roman"/>
          <w:lang w:val="en"/>
        </w:rPr>
        <w:t>Before determining eligibility, the VR counselor must document the level of significance and the relevant disability information to access the Eligibility page—ensuring documentation of information essential to appropriately assessing and planning needed services with the customer—and only staff with an appropriate user role can make and enter the eligibility determination in RHW.</w:t>
      </w:r>
    </w:p>
    <w:p w14:paraId="4C14D371" w14:textId="77777777" w:rsidR="008556B1" w:rsidRPr="008448A4" w:rsidRDefault="008556B1" w:rsidP="00DF506C">
      <w:pPr>
        <w:numPr>
          <w:ilvl w:val="0"/>
          <w:numId w:val="1392"/>
        </w:numPr>
        <w:spacing w:after="240" w:line="240" w:lineRule="auto"/>
        <w:rPr>
          <w:rFonts w:eastAsia="Times New Roman"/>
          <w:lang w:val="en"/>
        </w:rPr>
      </w:pPr>
      <w:r w:rsidRPr="008448A4">
        <w:rPr>
          <w:rFonts w:eastAsia="Times New Roman"/>
          <w:lang w:val="en"/>
        </w:rPr>
        <w:t>For caseloads, system data enables VR counselors to manage their cases and be informed as to compliance with eligibility determination and plan development time frames.</w:t>
      </w:r>
    </w:p>
    <w:p w14:paraId="56007103" w14:textId="77777777" w:rsidR="008556B1" w:rsidRPr="008448A4" w:rsidRDefault="008556B1" w:rsidP="00DF506C">
      <w:pPr>
        <w:numPr>
          <w:ilvl w:val="0"/>
          <w:numId w:val="1392"/>
        </w:numPr>
        <w:spacing w:after="240" w:line="240" w:lineRule="auto"/>
        <w:rPr>
          <w:rFonts w:eastAsia="Times New Roman"/>
          <w:lang w:val="en"/>
        </w:rPr>
      </w:pPr>
      <w:r w:rsidRPr="008448A4">
        <w:rPr>
          <w:rFonts w:eastAsia="Times New Roman"/>
          <w:lang w:val="en"/>
        </w:rPr>
        <w:t>The Purchasing Approval Requests process supports planning, ensures and documents policy compliance, engages active supervision, and helps with caseload budget management.</w:t>
      </w:r>
    </w:p>
    <w:p w14:paraId="69FC6D8F" w14:textId="77777777" w:rsidR="008556B1" w:rsidRPr="008448A4" w:rsidRDefault="008556B1" w:rsidP="00DF506C">
      <w:pPr>
        <w:numPr>
          <w:ilvl w:val="0"/>
          <w:numId w:val="1392"/>
        </w:numPr>
        <w:spacing w:after="240" w:line="240" w:lineRule="auto"/>
        <w:rPr>
          <w:rFonts w:eastAsia="Times New Roman"/>
          <w:lang w:val="en"/>
        </w:rPr>
      </w:pPr>
      <w:r w:rsidRPr="008448A4">
        <w:rPr>
          <w:rFonts w:eastAsia="Times New Roman"/>
          <w:lang w:val="en"/>
        </w:rPr>
        <w:lastRenderedPageBreak/>
        <w:t>For Service Records, edits in the system help ensure the correct use of Basic Support or Preemployment Transition Services (Pre-ETS) budget and the proper categorization of the service.</w:t>
      </w:r>
    </w:p>
    <w:p w14:paraId="1403EF41" w14:textId="77777777" w:rsidR="008556B1" w:rsidRPr="008448A4" w:rsidRDefault="008556B1" w:rsidP="00DF506C">
      <w:pPr>
        <w:numPr>
          <w:ilvl w:val="0"/>
          <w:numId w:val="1392"/>
        </w:numPr>
        <w:spacing w:after="240" w:line="240" w:lineRule="auto"/>
        <w:rPr>
          <w:rFonts w:eastAsia="Times New Roman"/>
          <w:lang w:val="en"/>
        </w:rPr>
      </w:pPr>
      <w:r w:rsidRPr="008448A4">
        <w:rPr>
          <w:rFonts w:eastAsia="Times New Roman"/>
          <w:lang w:val="en"/>
        </w:rPr>
        <w:t>For Service Records, the pop-up message about using Medicaid helps support the application of comparable benefits.</w:t>
      </w:r>
    </w:p>
    <w:p w14:paraId="75FE3E17" w14:textId="77777777" w:rsidR="008556B1" w:rsidRPr="008448A4" w:rsidRDefault="008556B1" w:rsidP="00DF506C">
      <w:pPr>
        <w:numPr>
          <w:ilvl w:val="0"/>
          <w:numId w:val="1392"/>
        </w:numPr>
        <w:spacing w:after="240" w:line="240" w:lineRule="auto"/>
        <w:rPr>
          <w:rFonts w:eastAsia="Times New Roman"/>
          <w:lang w:val="en"/>
        </w:rPr>
      </w:pPr>
      <w:r w:rsidRPr="008448A4">
        <w:rPr>
          <w:rFonts w:eastAsia="Times New Roman"/>
          <w:lang w:val="en"/>
        </w:rPr>
        <w:t>For the purchasing process, new edits in the system direct the Basic Support or Pre-ETS characterization of the service to help ensure allowable use of funds and support accurate fiscal reporting.</w:t>
      </w:r>
    </w:p>
    <w:p w14:paraId="35A10260" w14:textId="77777777" w:rsidR="008556B1" w:rsidRPr="008448A4" w:rsidRDefault="008556B1" w:rsidP="00DF506C">
      <w:pPr>
        <w:numPr>
          <w:ilvl w:val="0"/>
          <w:numId w:val="1392"/>
        </w:numPr>
        <w:spacing w:after="240" w:line="240" w:lineRule="auto"/>
        <w:rPr>
          <w:rFonts w:eastAsia="Times New Roman"/>
          <w:lang w:val="en"/>
        </w:rPr>
      </w:pPr>
      <w:r w:rsidRPr="008448A4">
        <w:rPr>
          <w:rFonts w:eastAsia="Times New Roman"/>
          <w:lang w:val="en"/>
        </w:rPr>
        <w:t>For the purchasing process, system edits support the application of contracts to service authorizations for goods and services requiring contracts.</w:t>
      </w:r>
    </w:p>
    <w:p w14:paraId="7CE4E6D3" w14:textId="77777777" w:rsidR="008556B1" w:rsidRPr="008448A4" w:rsidRDefault="008556B1" w:rsidP="00DF506C">
      <w:pPr>
        <w:numPr>
          <w:ilvl w:val="0"/>
          <w:numId w:val="1392"/>
        </w:numPr>
        <w:spacing w:after="240" w:line="240" w:lineRule="auto"/>
        <w:rPr>
          <w:rFonts w:eastAsia="Times New Roman"/>
          <w:lang w:val="en"/>
        </w:rPr>
      </w:pPr>
      <w:r w:rsidRPr="008448A4">
        <w:rPr>
          <w:rFonts w:eastAsia="Times New Roman"/>
          <w:lang w:val="en"/>
        </w:rPr>
        <w:t>For the purchasing process, system edits prevent any one individual from creating or changing, receiving, and/or paying a service authorization to enforce separation of duties. (This is called a compensating control.)</w:t>
      </w:r>
    </w:p>
    <w:p w14:paraId="74783791" w14:textId="77777777" w:rsidR="008556B1" w:rsidRPr="008448A4" w:rsidRDefault="008556B1" w:rsidP="00DF506C">
      <w:pPr>
        <w:numPr>
          <w:ilvl w:val="0"/>
          <w:numId w:val="1392"/>
        </w:numPr>
        <w:spacing w:after="240" w:line="240" w:lineRule="auto"/>
        <w:rPr>
          <w:rFonts w:eastAsia="Times New Roman"/>
          <w:lang w:val="en"/>
        </w:rPr>
      </w:pPr>
      <w:r w:rsidRPr="008448A4">
        <w:rPr>
          <w:rFonts w:eastAsia="Times New Roman"/>
          <w:lang w:val="en"/>
        </w:rPr>
        <w:t>For the purchasing process, system edits allow vendors to be suspended from providing services when needed based on contract monitoring or other issues.</w:t>
      </w:r>
    </w:p>
    <w:p w14:paraId="42F8ACE3" w14:textId="77777777" w:rsidR="008556B1" w:rsidRPr="008448A4" w:rsidRDefault="008556B1" w:rsidP="00DF506C">
      <w:pPr>
        <w:numPr>
          <w:ilvl w:val="0"/>
          <w:numId w:val="1392"/>
        </w:numPr>
        <w:spacing w:after="240" w:line="240" w:lineRule="auto"/>
        <w:rPr>
          <w:rFonts w:eastAsia="Times New Roman"/>
          <w:lang w:val="en"/>
        </w:rPr>
      </w:pPr>
      <w:r w:rsidRPr="008448A4">
        <w:rPr>
          <w:rFonts w:eastAsia="Times New Roman"/>
          <w:lang w:val="en"/>
        </w:rPr>
        <w:t>For the purchasing process, references associated with the specifications provide staff with a quick guide on where to look in policy for governance and guidance on the service.</w:t>
      </w:r>
    </w:p>
    <w:p w14:paraId="590D5A0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possible, internal controls to support data accuracy, consistency, integrity, reasonableness, and completeness are incorporated into the RHW business process to actively support proper program performance as an integral part of the customer service delivery process.</w:t>
      </w:r>
    </w:p>
    <w:p w14:paraId="7042B486" w14:textId="77777777" w:rsidR="008556B1" w:rsidRPr="008448A4" w:rsidRDefault="008556B1" w:rsidP="00DF506C">
      <w:pPr>
        <w:pStyle w:val="Heading3"/>
        <w:spacing w:before="0" w:beforeAutospacing="0" w:after="240" w:afterAutospacing="0"/>
        <w:rPr>
          <w:rFonts w:eastAsia="Times New Roman"/>
          <w:lang w:val="en"/>
        </w:rPr>
      </w:pPr>
      <w:bookmarkStart w:id="27" w:name="_Toc135396292"/>
      <w:r w:rsidRPr="008448A4">
        <w:rPr>
          <w:rFonts w:eastAsia="Times New Roman"/>
          <w:lang w:val="en"/>
        </w:rPr>
        <w:t>D-404-4: Documentation and Data Corrections</w:t>
      </w:r>
      <w:bookmarkEnd w:id="27"/>
    </w:p>
    <w:p w14:paraId="4A14628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Case documentation is essential to showing compliance with applicable requirements and demonstrating the proper use of funds. This applies to all VR customers throughout the case life cycle.</w:t>
      </w:r>
    </w:p>
    <w:p w14:paraId="0B15AE6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Paper copies of supporting documentation, such as medical records, provider reports, grade reports, transcripts, certificates, diplomas, and other relevant documents, must be obtained from the customer or service provider and used when RHW is updated. Copies of these documents are maintained in the customer's paper case file.</w:t>
      </w:r>
    </w:p>
    <w:p w14:paraId="3DFD10AD" w14:textId="608FADC4" w:rsidR="007D1E8C" w:rsidRPr="0071534A" w:rsidRDefault="008556B1" w:rsidP="0071534A">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For assistance with situations in which the VR counselor is not able to directly enter, update, or correct data in the system, refer to the ReHabWorks Users Guide and ReHabWorks and TxROCS Support page </w:t>
      </w:r>
      <w:r w:rsidR="0084735C">
        <w:rPr>
          <w:rFonts w:ascii="Verdana" w:hAnsi="Verdana"/>
          <w:lang w:val="en"/>
        </w:rPr>
        <w:t xml:space="preserve">on the intranet </w:t>
      </w:r>
      <w:r w:rsidRPr="008448A4">
        <w:rPr>
          <w:rFonts w:ascii="Verdana" w:hAnsi="Verdana"/>
          <w:lang w:val="en"/>
        </w:rPr>
        <w:t>for information on submitting data corrections to reconcile fixes, anomalies, and omissions.</w:t>
      </w:r>
    </w:p>
    <w:sectPr w:rsidR="007D1E8C" w:rsidRPr="0071534A" w:rsidSect="0063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2"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6"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5"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1"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3"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8"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5"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2"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2"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2"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9"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6"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3"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8"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6"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9"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2"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6"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4"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3"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0"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7"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3"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0"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3"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4"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0"/>
  </w:num>
  <w:num w:numId="2" w16cid:durableId="596449314">
    <w:abstractNumId w:val="1036"/>
  </w:num>
  <w:num w:numId="3" w16cid:durableId="226111009">
    <w:abstractNumId w:val="983"/>
  </w:num>
  <w:num w:numId="4" w16cid:durableId="1740398807">
    <w:abstractNumId w:val="940"/>
  </w:num>
  <w:num w:numId="5" w16cid:durableId="1676223226">
    <w:abstractNumId w:val="239"/>
  </w:num>
  <w:num w:numId="6" w16cid:durableId="462161173">
    <w:abstractNumId w:val="218"/>
  </w:num>
  <w:num w:numId="7" w16cid:durableId="710112944">
    <w:abstractNumId w:val="1179"/>
  </w:num>
  <w:num w:numId="8" w16cid:durableId="213395711">
    <w:abstractNumId w:val="880"/>
  </w:num>
  <w:num w:numId="9" w16cid:durableId="2127574418">
    <w:abstractNumId w:val="1047"/>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2"/>
  </w:num>
  <w:num w:numId="21" w16cid:durableId="86705444">
    <w:abstractNumId w:val="952"/>
  </w:num>
  <w:num w:numId="22" w16cid:durableId="1731346232">
    <w:abstractNumId w:val="1394"/>
  </w:num>
  <w:num w:numId="23" w16cid:durableId="346753874">
    <w:abstractNumId w:val="908"/>
  </w:num>
  <w:num w:numId="24" w16cid:durableId="14426084">
    <w:abstractNumId w:val="577"/>
  </w:num>
  <w:num w:numId="25" w16cid:durableId="543097759">
    <w:abstractNumId w:val="835"/>
  </w:num>
  <w:num w:numId="26" w16cid:durableId="566919098">
    <w:abstractNumId w:val="412"/>
  </w:num>
  <w:num w:numId="27" w16cid:durableId="1175192615">
    <w:abstractNumId w:val="546"/>
  </w:num>
  <w:num w:numId="28" w16cid:durableId="226065167">
    <w:abstractNumId w:val="889"/>
  </w:num>
  <w:num w:numId="29" w16cid:durableId="1342466567">
    <w:abstractNumId w:val="387"/>
  </w:num>
  <w:num w:numId="30" w16cid:durableId="1426413711">
    <w:abstractNumId w:val="975"/>
  </w:num>
  <w:num w:numId="31" w16cid:durableId="697007835">
    <w:abstractNumId w:val="1046"/>
  </w:num>
  <w:num w:numId="32" w16cid:durableId="2122529273">
    <w:abstractNumId w:val="979"/>
  </w:num>
  <w:num w:numId="33" w16cid:durableId="1468163980">
    <w:abstractNumId w:val="1329"/>
  </w:num>
  <w:num w:numId="34" w16cid:durableId="1081677053">
    <w:abstractNumId w:val="483"/>
  </w:num>
  <w:num w:numId="35" w16cid:durableId="1473863337">
    <w:abstractNumId w:val="1104"/>
  </w:num>
  <w:num w:numId="36" w16cid:durableId="1137794923">
    <w:abstractNumId w:val="479"/>
  </w:num>
  <w:num w:numId="37" w16cid:durableId="1285578297">
    <w:abstractNumId w:val="16"/>
  </w:num>
  <w:num w:numId="38" w16cid:durableId="1772506869">
    <w:abstractNumId w:val="543"/>
  </w:num>
  <w:num w:numId="39" w16cid:durableId="1605109140">
    <w:abstractNumId w:val="709"/>
  </w:num>
  <w:num w:numId="40" w16cid:durableId="693724058">
    <w:abstractNumId w:val="712"/>
  </w:num>
  <w:num w:numId="41" w16cid:durableId="1416588475">
    <w:abstractNumId w:val="767"/>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2"/>
  </w:num>
  <w:num w:numId="49" w16cid:durableId="1930309090">
    <w:abstractNumId w:val="357"/>
  </w:num>
  <w:num w:numId="50" w16cid:durableId="1977371800">
    <w:abstractNumId w:val="1143"/>
  </w:num>
  <w:num w:numId="51" w16cid:durableId="448624857">
    <w:abstractNumId w:val="540"/>
  </w:num>
  <w:num w:numId="52" w16cid:durableId="30810620">
    <w:abstractNumId w:val="972"/>
  </w:num>
  <w:num w:numId="53" w16cid:durableId="181743138">
    <w:abstractNumId w:val="329"/>
  </w:num>
  <w:num w:numId="54" w16cid:durableId="319582554">
    <w:abstractNumId w:val="731"/>
  </w:num>
  <w:num w:numId="55" w16cid:durableId="1552646133">
    <w:abstractNumId w:val="1246"/>
  </w:num>
  <w:num w:numId="56" w16cid:durableId="1011952938">
    <w:abstractNumId w:val="290"/>
  </w:num>
  <w:num w:numId="57" w16cid:durableId="1606037528">
    <w:abstractNumId w:val="456"/>
  </w:num>
  <w:num w:numId="58" w16cid:durableId="1199780989">
    <w:abstractNumId w:val="833"/>
  </w:num>
  <w:num w:numId="59" w16cid:durableId="1696998847">
    <w:abstractNumId w:val="515"/>
  </w:num>
  <w:num w:numId="60" w16cid:durableId="1543664378">
    <w:abstractNumId w:val="409"/>
  </w:num>
  <w:num w:numId="61" w16cid:durableId="611792047">
    <w:abstractNumId w:val="468"/>
  </w:num>
  <w:num w:numId="62" w16cid:durableId="1282959566">
    <w:abstractNumId w:val="993"/>
  </w:num>
  <w:num w:numId="63" w16cid:durableId="1906455436">
    <w:abstractNumId w:val="336"/>
  </w:num>
  <w:num w:numId="64" w16cid:durableId="844589768">
    <w:abstractNumId w:val="350"/>
  </w:num>
  <w:num w:numId="65" w16cid:durableId="1031609714">
    <w:abstractNumId w:val="617"/>
  </w:num>
  <w:num w:numId="66" w16cid:durableId="1593315078">
    <w:abstractNumId w:val="1044"/>
  </w:num>
  <w:num w:numId="67" w16cid:durableId="505635994">
    <w:abstractNumId w:val="330"/>
  </w:num>
  <w:num w:numId="68" w16cid:durableId="1081680351">
    <w:abstractNumId w:val="253"/>
  </w:num>
  <w:num w:numId="69" w16cid:durableId="768962940">
    <w:abstractNumId w:val="1153"/>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7"/>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69"/>
  </w:num>
  <w:num w:numId="83" w16cid:durableId="774400503">
    <w:abstractNumId w:val="886"/>
  </w:num>
  <w:num w:numId="84" w16cid:durableId="45375014">
    <w:abstractNumId w:val="414"/>
  </w:num>
  <w:num w:numId="85" w16cid:durableId="550775041">
    <w:abstractNumId w:val="949"/>
  </w:num>
  <w:num w:numId="86" w16cid:durableId="1286044306">
    <w:abstractNumId w:val="730"/>
  </w:num>
  <w:num w:numId="87" w16cid:durableId="35859057">
    <w:abstractNumId w:val="293"/>
  </w:num>
  <w:num w:numId="88" w16cid:durableId="1554343432">
    <w:abstractNumId w:val="1400"/>
  </w:num>
  <w:num w:numId="89" w16cid:durableId="406346110">
    <w:abstractNumId w:val="1161"/>
  </w:num>
  <w:num w:numId="90" w16cid:durableId="2112191796">
    <w:abstractNumId w:val="1016"/>
  </w:num>
  <w:num w:numId="91" w16cid:durableId="390468153">
    <w:abstractNumId w:val="202"/>
  </w:num>
  <w:num w:numId="92" w16cid:durableId="1106733622">
    <w:abstractNumId w:val="830"/>
  </w:num>
  <w:num w:numId="93" w16cid:durableId="1710372095">
    <w:abstractNumId w:val="555"/>
  </w:num>
  <w:num w:numId="94" w16cid:durableId="1473983318">
    <w:abstractNumId w:val="1189"/>
  </w:num>
  <w:num w:numId="95" w16cid:durableId="403836487">
    <w:abstractNumId w:val="467"/>
  </w:num>
  <w:num w:numId="96" w16cid:durableId="1576209229">
    <w:abstractNumId w:val="240"/>
  </w:num>
  <w:num w:numId="97" w16cid:durableId="732777377">
    <w:abstractNumId w:val="426"/>
  </w:num>
  <w:num w:numId="98" w16cid:durableId="623001040">
    <w:abstractNumId w:val="1275"/>
  </w:num>
  <w:num w:numId="99" w16cid:durableId="588468048">
    <w:abstractNumId w:val="20"/>
  </w:num>
  <w:num w:numId="100" w16cid:durableId="135725339">
    <w:abstractNumId w:val="512"/>
  </w:num>
  <w:num w:numId="101" w16cid:durableId="659768826">
    <w:abstractNumId w:val="925"/>
  </w:num>
  <w:num w:numId="102" w16cid:durableId="1207137186">
    <w:abstractNumId w:val="800"/>
  </w:num>
  <w:num w:numId="103" w16cid:durableId="1531920632">
    <w:abstractNumId w:val="934"/>
  </w:num>
  <w:num w:numId="104" w16cid:durableId="1038897058">
    <w:abstractNumId w:val="1411"/>
  </w:num>
  <w:num w:numId="105" w16cid:durableId="1208571897">
    <w:abstractNumId w:val="907"/>
  </w:num>
  <w:num w:numId="106" w16cid:durableId="1090739518">
    <w:abstractNumId w:val="1052"/>
  </w:num>
  <w:num w:numId="107" w16cid:durableId="1265192395">
    <w:abstractNumId w:val="1272"/>
  </w:num>
  <w:num w:numId="108" w16cid:durableId="761727146">
    <w:abstractNumId w:val="299"/>
  </w:num>
  <w:num w:numId="109" w16cid:durableId="2138334685">
    <w:abstractNumId w:val="1008"/>
  </w:num>
  <w:num w:numId="110" w16cid:durableId="186406706">
    <w:abstractNumId w:val="544"/>
  </w:num>
  <w:num w:numId="111" w16cid:durableId="1853110300">
    <w:abstractNumId w:val="868"/>
  </w:num>
  <w:num w:numId="112" w16cid:durableId="1202327027">
    <w:abstractNumId w:val="1134"/>
  </w:num>
  <w:num w:numId="113" w16cid:durableId="1326396658">
    <w:abstractNumId w:val="637"/>
  </w:num>
  <w:num w:numId="114" w16cid:durableId="1863661129">
    <w:abstractNumId w:val="571"/>
  </w:num>
  <w:num w:numId="115" w16cid:durableId="1446999425">
    <w:abstractNumId w:val="444"/>
  </w:num>
  <w:num w:numId="116" w16cid:durableId="1605530421">
    <w:abstractNumId w:val="887"/>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7"/>
  </w:num>
  <w:num w:numId="122" w16cid:durableId="1247496104">
    <w:abstractNumId w:val="771"/>
  </w:num>
  <w:num w:numId="123" w16cid:durableId="727341570">
    <w:abstractNumId w:val="158"/>
  </w:num>
  <w:num w:numId="124" w16cid:durableId="1022896118">
    <w:abstractNumId w:val="799"/>
  </w:num>
  <w:num w:numId="125" w16cid:durableId="815882113">
    <w:abstractNumId w:val="332"/>
  </w:num>
  <w:num w:numId="126" w16cid:durableId="397438872">
    <w:abstractNumId w:val="977"/>
  </w:num>
  <w:num w:numId="127" w16cid:durableId="1981837715">
    <w:abstractNumId w:val="1215"/>
  </w:num>
  <w:num w:numId="128" w16cid:durableId="1692417675">
    <w:abstractNumId w:val="1071"/>
  </w:num>
  <w:num w:numId="129" w16cid:durableId="214899329">
    <w:abstractNumId w:val="321"/>
  </w:num>
  <w:num w:numId="130" w16cid:durableId="2012445519">
    <w:abstractNumId w:val="1360"/>
  </w:num>
  <w:num w:numId="131" w16cid:durableId="1189559738">
    <w:abstractNumId w:val="223"/>
  </w:num>
  <w:num w:numId="132" w16cid:durableId="1107892314">
    <w:abstractNumId w:val="541"/>
  </w:num>
  <w:num w:numId="133" w16cid:durableId="1497064281">
    <w:abstractNumId w:val="327"/>
  </w:num>
  <w:num w:numId="134" w16cid:durableId="580406853">
    <w:abstractNumId w:val="1277"/>
  </w:num>
  <w:num w:numId="135" w16cid:durableId="1625497748">
    <w:abstractNumId w:val="1230"/>
  </w:num>
  <w:num w:numId="136" w16cid:durableId="231430083">
    <w:abstractNumId w:val="8"/>
  </w:num>
  <w:num w:numId="137" w16cid:durableId="606155697">
    <w:abstractNumId w:val="787"/>
  </w:num>
  <w:num w:numId="138" w16cid:durableId="1358119365">
    <w:abstractNumId w:val="427"/>
  </w:num>
  <w:num w:numId="139" w16cid:durableId="1657371656">
    <w:abstractNumId w:val="826"/>
  </w:num>
  <w:num w:numId="140" w16cid:durableId="226963482">
    <w:abstractNumId w:val="147"/>
  </w:num>
  <w:num w:numId="141" w16cid:durableId="166678493">
    <w:abstractNumId w:val="1390"/>
  </w:num>
  <w:num w:numId="142" w16cid:durableId="417949044">
    <w:abstractNumId w:val="766"/>
  </w:num>
  <w:num w:numId="143" w16cid:durableId="1332566726">
    <w:abstractNumId w:val="1421"/>
  </w:num>
  <w:num w:numId="144" w16cid:durableId="840779193">
    <w:abstractNumId w:val="1316"/>
  </w:num>
  <w:num w:numId="145" w16cid:durableId="371540894">
    <w:abstractNumId w:val="442"/>
  </w:num>
  <w:num w:numId="146" w16cid:durableId="1175071500">
    <w:abstractNumId w:val="992"/>
  </w:num>
  <w:num w:numId="147" w16cid:durableId="966012158">
    <w:abstractNumId w:val="841"/>
  </w:num>
  <w:num w:numId="148" w16cid:durableId="1176336853">
    <w:abstractNumId w:val="1228"/>
  </w:num>
  <w:num w:numId="149" w16cid:durableId="632441419">
    <w:abstractNumId w:val="1392"/>
  </w:num>
  <w:num w:numId="150" w16cid:durableId="1736272813">
    <w:abstractNumId w:val="162"/>
  </w:num>
  <w:num w:numId="151" w16cid:durableId="736364660">
    <w:abstractNumId w:val="1365"/>
  </w:num>
  <w:num w:numId="152" w16cid:durableId="1928074953">
    <w:abstractNumId w:val="801"/>
  </w:num>
  <w:num w:numId="153" w16cid:durableId="757408829">
    <w:abstractNumId w:val="509"/>
  </w:num>
  <w:num w:numId="154" w16cid:durableId="1602906749">
    <w:abstractNumId w:val="1273"/>
  </w:num>
  <w:num w:numId="155" w16cid:durableId="347411607">
    <w:abstractNumId w:val="662"/>
  </w:num>
  <w:num w:numId="156" w16cid:durableId="630325733">
    <w:abstractNumId w:val="376"/>
  </w:num>
  <w:num w:numId="157" w16cid:durableId="1714647153">
    <w:abstractNumId w:val="1274"/>
  </w:num>
  <w:num w:numId="158" w16cid:durableId="1692951550">
    <w:abstractNumId w:val="1319"/>
  </w:num>
  <w:num w:numId="159" w16cid:durableId="1359089613">
    <w:abstractNumId w:val="107"/>
  </w:num>
  <w:num w:numId="160" w16cid:durableId="1802384846">
    <w:abstractNumId w:val="951"/>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5"/>
  </w:num>
  <w:num w:numId="169" w16cid:durableId="1589003633">
    <w:abstractNumId w:val="404"/>
  </w:num>
  <w:num w:numId="170" w16cid:durableId="1066877331">
    <w:abstractNumId w:val="973"/>
  </w:num>
  <w:num w:numId="171" w16cid:durableId="1647470249">
    <w:abstractNumId w:val="103"/>
  </w:num>
  <w:num w:numId="172" w16cid:durableId="854733142">
    <w:abstractNumId w:val="602"/>
  </w:num>
  <w:num w:numId="173" w16cid:durableId="741414946">
    <w:abstractNumId w:val="734"/>
  </w:num>
  <w:num w:numId="174" w16cid:durableId="2088574202">
    <w:abstractNumId w:val="1229"/>
  </w:num>
  <w:num w:numId="175" w16cid:durableId="1746949897">
    <w:abstractNumId w:val="878"/>
  </w:num>
  <w:num w:numId="176" w16cid:durableId="872036778">
    <w:abstractNumId w:val="302"/>
  </w:num>
  <w:num w:numId="177" w16cid:durableId="2137554396">
    <w:abstractNumId w:val="502"/>
  </w:num>
  <w:num w:numId="178" w16cid:durableId="634027136">
    <w:abstractNumId w:val="1158"/>
  </w:num>
  <w:num w:numId="179" w16cid:durableId="551813949">
    <w:abstractNumId w:val="589"/>
  </w:num>
  <w:num w:numId="180" w16cid:durableId="1930890568">
    <w:abstractNumId w:val="1101"/>
  </w:num>
  <w:num w:numId="181" w16cid:durableId="600526700">
    <w:abstractNumId w:val="1155"/>
  </w:num>
  <w:num w:numId="182" w16cid:durableId="853152324">
    <w:abstractNumId w:val="1333"/>
  </w:num>
  <w:num w:numId="183" w16cid:durableId="2087680871">
    <w:abstractNumId w:val="1213"/>
  </w:num>
  <w:num w:numId="184" w16cid:durableId="2126579856">
    <w:abstractNumId w:val="576"/>
  </w:num>
  <w:num w:numId="185" w16cid:durableId="1010911697">
    <w:abstractNumId w:val="554"/>
  </w:num>
  <w:num w:numId="186" w16cid:durableId="177618636">
    <w:abstractNumId w:val="1003"/>
  </w:num>
  <w:num w:numId="187" w16cid:durableId="1672953101">
    <w:abstractNumId w:val="238"/>
  </w:num>
  <w:num w:numId="188" w16cid:durableId="1677148640">
    <w:abstractNumId w:val="900"/>
  </w:num>
  <w:num w:numId="189" w16cid:durableId="1771924893">
    <w:abstractNumId w:val="140"/>
  </w:num>
  <w:num w:numId="190" w16cid:durableId="2071078513">
    <w:abstractNumId w:val="136"/>
  </w:num>
  <w:num w:numId="191" w16cid:durableId="1909878363">
    <w:abstractNumId w:val="1209"/>
  </w:num>
  <w:num w:numId="192" w16cid:durableId="1608387087">
    <w:abstractNumId w:val="967"/>
  </w:num>
  <w:num w:numId="193" w16cid:durableId="419326739">
    <w:abstractNumId w:val="628"/>
  </w:num>
  <w:num w:numId="194" w16cid:durableId="196237160">
    <w:abstractNumId w:val="613"/>
  </w:num>
  <w:num w:numId="195" w16cid:durableId="44333725">
    <w:abstractNumId w:val="235"/>
  </w:num>
  <w:num w:numId="196" w16cid:durableId="757944714">
    <w:abstractNumId w:val="996"/>
  </w:num>
  <w:num w:numId="197" w16cid:durableId="1395158435">
    <w:abstractNumId w:val="309"/>
  </w:num>
  <w:num w:numId="198" w16cid:durableId="1203833791">
    <w:abstractNumId w:val="1025"/>
  </w:num>
  <w:num w:numId="199" w16cid:durableId="1391735252">
    <w:abstractNumId w:val="864"/>
  </w:num>
  <w:num w:numId="200" w16cid:durableId="1612472758">
    <w:abstractNumId w:val="1381"/>
  </w:num>
  <w:num w:numId="201" w16cid:durableId="1178929837">
    <w:abstractNumId w:val="818"/>
  </w:num>
  <w:num w:numId="202" w16cid:durableId="346181240">
    <w:abstractNumId w:val="258"/>
  </w:num>
  <w:num w:numId="203" w16cid:durableId="84231665">
    <w:abstractNumId w:val="748"/>
  </w:num>
  <w:num w:numId="204" w16cid:durableId="1864782066">
    <w:abstractNumId w:val="609"/>
  </w:num>
  <w:num w:numId="205" w16cid:durableId="124281938">
    <w:abstractNumId w:val="62"/>
  </w:num>
  <w:num w:numId="206" w16cid:durableId="1750613883">
    <w:abstractNumId w:val="760"/>
  </w:num>
  <w:num w:numId="207" w16cid:durableId="20059254">
    <w:abstractNumId w:val="496"/>
  </w:num>
  <w:num w:numId="208" w16cid:durableId="869682362">
    <w:abstractNumId w:val="1024"/>
  </w:num>
  <w:num w:numId="209" w16cid:durableId="1376584168">
    <w:abstractNumId w:val="68"/>
  </w:num>
  <w:num w:numId="210" w16cid:durableId="1325666363">
    <w:abstractNumId w:val="287"/>
  </w:num>
  <w:num w:numId="211" w16cid:durableId="1337347561">
    <w:abstractNumId w:val="872"/>
  </w:num>
  <w:num w:numId="212" w16cid:durableId="730924357">
    <w:abstractNumId w:val="1231"/>
  </w:num>
  <w:num w:numId="213" w16cid:durableId="1438333193">
    <w:abstractNumId w:val="1354"/>
  </w:num>
  <w:num w:numId="214" w16cid:durableId="1107236605">
    <w:abstractNumId w:val="939"/>
  </w:num>
  <w:num w:numId="215" w16cid:durableId="250627136">
    <w:abstractNumId w:val="279"/>
  </w:num>
  <w:num w:numId="216" w16cid:durableId="100343627">
    <w:abstractNumId w:val="1317"/>
  </w:num>
  <w:num w:numId="217" w16cid:durableId="1052189578">
    <w:abstractNumId w:val="1125"/>
  </w:num>
  <w:num w:numId="218" w16cid:durableId="581065418">
    <w:abstractNumId w:val="1053"/>
  </w:num>
  <w:num w:numId="219" w16cid:durableId="1142961368">
    <w:abstractNumId w:val="343"/>
  </w:num>
  <w:num w:numId="220" w16cid:durableId="1841919760">
    <w:abstractNumId w:val="1136"/>
  </w:num>
  <w:num w:numId="221" w16cid:durableId="1695426028">
    <w:abstractNumId w:val="1278"/>
  </w:num>
  <w:num w:numId="222" w16cid:durableId="159975062">
    <w:abstractNumId w:val="1325"/>
  </w:num>
  <w:num w:numId="223" w16cid:durableId="1270701764">
    <w:abstractNumId w:val="1270"/>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88"/>
  </w:num>
  <w:num w:numId="229" w16cid:durableId="798229831">
    <w:abstractNumId w:val="778"/>
  </w:num>
  <w:num w:numId="230" w16cid:durableId="410934154">
    <w:abstractNumId w:val="1313"/>
  </w:num>
  <w:num w:numId="231" w16cid:durableId="388920624">
    <w:abstractNumId w:val="873"/>
  </w:num>
  <w:num w:numId="232" w16cid:durableId="2054497481">
    <w:abstractNumId w:val="855"/>
  </w:num>
  <w:num w:numId="233" w16cid:durableId="1602836575">
    <w:abstractNumId w:val="694"/>
  </w:num>
  <w:num w:numId="234" w16cid:durableId="96950511">
    <w:abstractNumId w:val="1292"/>
  </w:num>
  <w:num w:numId="235" w16cid:durableId="221597689">
    <w:abstractNumId w:val="777"/>
  </w:num>
  <w:num w:numId="236" w16cid:durableId="1075854102">
    <w:abstractNumId w:val="755"/>
  </w:num>
  <w:num w:numId="237" w16cid:durableId="2105609757">
    <w:abstractNumId w:val="584"/>
  </w:num>
  <w:num w:numId="238" w16cid:durableId="298996983">
    <w:abstractNumId w:val="582"/>
  </w:num>
  <w:num w:numId="239" w16cid:durableId="1089813812">
    <w:abstractNumId w:val="63"/>
  </w:num>
  <w:num w:numId="240" w16cid:durableId="641739340">
    <w:abstractNumId w:val="718"/>
  </w:num>
  <w:num w:numId="241" w16cid:durableId="1541279449">
    <w:abstractNumId w:val="454"/>
  </w:num>
  <w:num w:numId="242" w16cid:durableId="1135030131">
    <w:abstractNumId w:val="244"/>
  </w:num>
  <w:num w:numId="243" w16cid:durableId="2108118163">
    <w:abstractNumId w:val="203"/>
  </w:num>
  <w:num w:numId="244" w16cid:durableId="1361857793">
    <w:abstractNumId w:val="1107"/>
  </w:num>
  <w:num w:numId="245" w16cid:durableId="1690989724">
    <w:abstractNumId w:val="48"/>
  </w:num>
  <w:num w:numId="246" w16cid:durableId="1931817727">
    <w:abstractNumId w:val="1054"/>
  </w:num>
  <w:num w:numId="247" w16cid:durableId="727068400">
    <w:abstractNumId w:val="27"/>
  </w:num>
  <w:num w:numId="248" w16cid:durableId="1616135347">
    <w:abstractNumId w:val="1021"/>
  </w:num>
  <w:num w:numId="249" w16cid:durableId="1439982298">
    <w:abstractNumId w:val="1241"/>
  </w:num>
  <w:num w:numId="250" w16cid:durableId="179584483">
    <w:abstractNumId w:val="890"/>
  </w:num>
  <w:num w:numId="251" w16cid:durableId="1978990833">
    <w:abstractNumId w:val="1321"/>
  </w:num>
  <w:num w:numId="252" w16cid:durableId="1300190956">
    <w:abstractNumId w:val="875"/>
  </w:num>
  <w:num w:numId="253" w16cid:durableId="1962493425">
    <w:abstractNumId w:val="410"/>
  </w:num>
  <w:num w:numId="254" w16cid:durableId="1841920271">
    <w:abstractNumId w:val="839"/>
  </w:num>
  <w:num w:numId="255" w16cid:durableId="2144030863">
    <w:abstractNumId w:val="284"/>
  </w:num>
  <w:num w:numId="256" w16cid:durableId="1313363121">
    <w:abstractNumId w:val="621"/>
  </w:num>
  <w:num w:numId="257" w16cid:durableId="1199471105">
    <w:abstractNumId w:val="744"/>
  </w:num>
  <w:num w:numId="258" w16cid:durableId="1552308140">
    <w:abstractNumId w:val="254"/>
  </w:num>
  <w:num w:numId="259" w16cid:durableId="384572979">
    <w:abstractNumId w:val="933"/>
  </w:num>
  <w:num w:numId="260" w16cid:durableId="866135291">
    <w:abstractNumId w:val="1154"/>
  </w:num>
  <w:num w:numId="261" w16cid:durableId="1231962005">
    <w:abstractNumId w:val="812"/>
  </w:num>
  <w:num w:numId="262" w16cid:durableId="1949463461">
    <w:abstractNumId w:val="753"/>
  </w:num>
  <w:num w:numId="263" w16cid:durableId="1159343633">
    <w:abstractNumId w:val="1164"/>
  </w:num>
  <w:num w:numId="264" w16cid:durableId="1855604625">
    <w:abstractNumId w:val="649"/>
  </w:num>
  <w:num w:numId="265" w16cid:durableId="1485581397">
    <w:abstractNumId w:val="988"/>
  </w:num>
  <w:num w:numId="266" w16cid:durableId="2065136801">
    <w:abstractNumId w:val="1250"/>
  </w:num>
  <w:num w:numId="267" w16cid:durableId="95518693">
    <w:abstractNumId w:val="791"/>
  </w:num>
  <w:num w:numId="268" w16cid:durableId="1023046189">
    <w:abstractNumId w:val="1441"/>
  </w:num>
  <w:num w:numId="269" w16cid:durableId="2013482327">
    <w:abstractNumId w:val="95"/>
  </w:num>
  <w:num w:numId="270" w16cid:durableId="1491024613">
    <w:abstractNumId w:val="66"/>
  </w:num>
  <w:num w:numId="271" w16cid:durableId="622349724">
    <w:abstractNumId w:val="747"/>
  </w:num>
  <w:num w:numId="272" w16cid:durableId="631909466">
    <w:abstractNumId w:val="876"/>
  </w:num>
  <w:num w:numId="273" w16cid:durableId="899755796">
    <w:abstractNumId w:val="601"/>
  </w:num>
  <w:num w:numId="274" w16cid:durableId="1278752025">
    <w:abstractNumId w:val="510"/>
  </w:num>
  <w:num w:numId="275" w16cid:durableId="846168047">
    <w:abstractNumId w:val="1320"/>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4"/>
  </w:num>
  <w:num w:numId="283" w16cid:durableId="1785227718">
    <w:abstractNumId w:val="431"/>
  </w:num>
  <w:num w:numId="284" w16cid:durableId="704133989">
    <w:abstractNumId w:val="743"/>
  </w:num>
  <w:num w:numId="285" w16cid:durableId="1646399283">
    <w:abstractNumId w:val="751"/>
  </w:num>
  <w:num w:numId="286" w16cid:durableId="1410729348">
    <w:abstractNumId w:val="1076"/>
  </w:num>
  <w:num w:numId="287" w16cid:durableId="1328709328">
    <w:abstractNumId w:val="43"/>
  </w:num>
  <w:num w:numId="288" w16cid:durableId="1053313824">
    <w:abstractNumId w:val="1408"/>
  </w:num>
  <w:num w:numId="289" w16cid:durableId="1151140443">
    <w:abstractNumId w:val="119"/>
  </w:num>
  <w:num w:numId="290" w16cid:durableId="423112199">
    <w:abstractNumId w:val="413"/>
  </w:num>
  <w:num w:numId="291" w16cid:durableId="2083942967">
    <w:abstractNumId w:val="1066"/>
  </w:num>
  <w:num w:numId="292" w16cid:durableId="1891915808">
    <w:abstractNumId w:val="243"/>
  </w:num>
  <w:num w:numId="293" w16cid:durableId="468060108">
    <w:abstractNumId w:val="514"/>
  </w:num>
  <w:num w:numId="294" w16cid:durableId="1180244628">
    <w:abstractNumId w:val="1238"/>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4"/>
  </w:num>
  <w:num w:numId="300" w16cid:durableId="247815688">
    <w:abstractNumId w:val="419"/>
  </w:num>
  <w:num w:numId="301" w16cid:durableId="288321558">
    <w:abstractNumId w:val="736"/>
  </w:num>
  <w:num w:numId="302" w16cid:durableId="1537085676">
    <w:abstractNumId w:val="691"/>
  </w:num>
  <w:num w:numId="303" w16cid:durableId="1417290134">
    <w:abstractNumId w:val="903"/>
  </w:num>
  <w:num w:numId="304" w16cid:durableId="771048162">
    <w:abstractNumId w:val="1029"/>
  </w:num>
  <w:num w:numId="305" w16cid:durableId="351154355">
    <w:abstractNumId w:val="1135"/>
  </w:num>
  <w:num w:numId="306" w16cid:durableId="263149755">
    <w:abstractNumId w:val="562"/>
  </w:num>
  <w:num w:numId="307" w16cid:durableId="1258100256">
    <w:abstractNumId w:val="391"/>
  </w:num>
  <w:num w:numId="308" w16cid:durableId="2107190787">
    <w:abstractNumId w:val="769"/>
  </w:num>
  <w:num w:numId="309" w16cid:durableId="1414274205">
    <w:abstractNumId w:val="781"/>
  </w:num>
  <w:num w:numId="310" w16cid:durableId="1778868709">
    <w:abstractNumId w:val="1355"/>
  </w:num>
  <w:num w:numId="311" w16cid:durableId="1197307623">
    <w:abstractNumId w:val="156"/>
  </w:num>
  <w:num w:numId="312" w16cid:durableId="1334718015">
    <w:abstractNumId w:val="171"/>
  </w:num>
  <w:num w:numId="313" w16cid:durableId="1741899457">
    <w:abstractNumId w:val="1413"/>
  </w:num>
  <w:num w:numId="314" w16cid:durableId="479273447">
    <w:abstractNumId w:val="163"/>
  </w:num>
  <w:num w:numId="315" w16cid:durableId="1661880894">
    <w:abstractNumId w:val="155"/>
  </w:num>
  <w:num w:numId="316" w16cid:durableId="1619336877">
    <w:abstractNumId w:val="1414"/>
  </w:num>
  <w:num w:numId="317" w16cid:durableId="103888977">
    <w:abstractNumId w:val="1387"/>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0"/>
  </w:num>
  <w:num w:numId="323" w16cid:durableId="1758672749">
    <w:abstractNumId w:val="1233"/>
  </w:num>
  <w:num w:numId="324" w16cid:durableId="383992101">
    <w:abstractNumId w:val="362"/>
  </w:num>
  <w:num w:numId="325" w16cid:durableId="1755013388">
    <w:abstractNumId w:val="1312"/>
  </w:num>
  <w:num w:numId="326" w16cid:durableId="1663656402">
    <w:abstractNumId w:val="542"/>
  </w:num>
  <w:num w:numId="327" w16cid:durableId="1859470095">
    <w:abstractNumId w:val="191"/>
  </w:num>
  <w:num w:numId="328" w16cid:durableId="1194535140">
    <w:abstractNumId w:val="1429"/>
  </w:num>
  <w:num w:numId="329" w16cid:durableId="1528636883">
    <w:abstractNumId w:val="1219"/>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6"/>
  </w:num>
  <w:num w:numId="335" w16cid:durableId="2125224798">
    <w:abstractNumId w:val="843"/>
  </w:num>
  <w:num w:numId="336" w16cid:durableId="2080858424">
    <w:abstractNumId w:val="945"/>
  </w:num>
  <w:num w:numId="337" w16cid:durableId="1795637429">
    <w:abstractNumId w:val="492"/>
  </w:num>
  <w:num w:numId="338" w16cid:durableId="277152941">
    <w:abstractNumId w:val="478"/>
  </w:num>
  <w:num w:numId="339" w16cid:durableId="482312029">
    <w:abstractNumId w:val="438"/>
  </w:num>
  <w:num w:numId="340" w16cid:durableId="1635672970">
    <w:abstractNumId w:val="1410"/>
  </w:num>
  <w:num w:numId="341" w16cid:durableId="6760936">
    <w:abstractNumId w:val="1140"/>
  </w:num>
  <w:num w:numId="342" w16cid:durableId="1442720102">
    <w:abstractNumId w:val="1038"/>
  </w:num>
  <w:num w:numId="343" w16cid:durableId="1555392002">
    <w:abstractNumId w:val="1300"/>
  </w:num>
  <w:num w:numId="344" w16cid:durableId="375354354">
    <w:abstractNumId w:val="639"/>
  </w:num>
  <w:num w:numId="345" w16cid:durableId="1548106068">
    <w:abstractNumId w:val="923"/>
  </w:num>
  <w:num w:numId="346" w16cid:durableId="440687691">
    <w:abstractNumId w:val="1130"/>
  </w:num>
  <w:num w:numId="347" w16cid:durableId="1670793938">
    <w:abstractNumId w:val="415"/>
  </w:num>
  <w:num w:numId="348" w16cid:durableId="762915552">
    <w:abstractNumId w:val="607"/>
  </w:num>
  <w:num w:numId="349" w16cid:durableId="185412548">
    <w:abstractNumId w:val="1258"/>
  </w:num>
  <w:num w:numId="350" w16cid:durableId="1991012872">
    <w:abstractNumId w:val="371"/>
  </w:num>
  <w:num w:numId="351" w16cid:durableId="1512530908">
    <w:abstractNumId w:val="374"/>
  </w:num>
  <w:num w:numId="352" w16cid:durableId="1088766598">
    <w:abstractNumId w:val="1305"/>
  </w:num>
  <w:num w:numId="353" w16cid:durableId="1498813015">
    <w:abstractNumId w:val="1255"/>
  </w:num>
  <w:num w:numId="354" w16cid:durableId="1391733755">
    <w:abstractNumId w:val="1116"/>
  </w:num>
  <w:num w:numId="355" w16cid:durableId="2008508825">
    <w:abstractNumId w:val="1283"/>
  </w:num>
  <w:num w:numId="356" w16cid:durableId="1781728034">
    <w:abstractNumId w:val="1235"/>
  </w:num>
  <w:num w:numId="357" w16cid:durableId="1316495974">
    <w:abstractNumId w:val="1293"/>
  </w:num>
  <w:num w:numId="358" w16cid:durableId="1803383649">
    <w:abstractNumId w:val="1061"/>
  </w:num>
  <w:num w:numId="359" w16cid:durableId="513884232">
    <w:abstractNumId w:val="1431"/>
  </w:num>
  <w:num w:numId="360" w16cid:durableId="1411582612">
    <w:abstractNumId w:val="870"/>
  </w:num>
  <w:num w:numId="361" w16cid:durableId="2026247014">
    <w:abstractNumId w:val="947"/>
  </w:num>
  <w:num w:numId="362" w16cid:durableId="1838038055">
    <w:abstractNumId w:val="465"/>
  </w:num>
  <w:num w:numId="363" w16cid:durableId="1966350658">
    <w:abstractNumId w:val="982"/>
  </w:num>
  <w:num w:numId="364" w16cid:durableId="405612531">
    <w:abstractNumId w:val="932"/>
  </w:num>
  <w:num w:numId="365" w16cid:durableId="1181503042">
    <w:abstractNumId w:val="1064"/>
  </w:num>
  <w:num w:numId="366" w16cid:durableId="1841389444">
    <w:abstractNumId w:val="762"/>
  </w:num>
  <w:num w:numId="367" w16cid:durableId="343945769">
    <w:abstractNumId w:val="752"/>
  </w:num>
  <w:num w:numId="368" w16cid:durableId="237138659">
    <w:abstractNumId w:val="898"/>
  </w:num>
  <w:num w:numId="369" w16cid:durableId="1044986263">
    <w:abstractNumId w:val="667"/>
  </w:num>
  <w:num w:numId="370" w16cid:durableId="610285396">
    <w:abstractNumId w:val="437"/>
  </w:num>
  <w:num w:numId="371" w16cid:durableId="1610504756">
    <w:abstractNumId w:val="1369"/>
  </w:num>
  <w:num w:numId="372" w16cid:durableId="907037455">
    <w:abstractNumId w:val="37"/>
  </w:num>
  <w:num w:numId="373" w16cid:durableId="1135440936">
    <w:abstractNumId w:val="435"/>
  </w:num>
  <w:num w:numId="374" w16cid:durableId="1972636687">
    <w:abstractNumId w:val="443"/>
  </w:num>
  <w:num w:numId="375" w16cid:durableId="1310284595">
    <w:abstractNumId w:val="1434"/>
  </w:num>
  <w:num w:numId="376" w16cid:durableId="95945979">
    <w:abstractNumId w:val="1263"/>
  </w:num>
  <w:num w:numId="377" w16cid:durableId="1024744308">
    <w:abstractNumId w:val="0"/>
  </w:num>
  <w:num w:numId="378" w16cid:durableId="870647664">
    <w:abstractNumId w:val="161"/>
  </w:num>
  <w:num w:numId="379" w16cid:durableId="2139570059">
    <w:abstractNumId w:val="167"/>
  </w:num>
  <w:num w:numId="380" w16cid:durableId="1780875949">
    <w:abstractNumId w:val="1133"/>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6"/>
  </w:num>
  <w:num w:numId="390" w16cid:durableId="1593928982">
    <w:abstractNumId w:val="552"/>
  </w:num>
  <w:num w:numId="391" w16cid:durableId="1085150529">
    <w:abstractNumId w:val="1196"/>
  </w:num>
  <w:num w:numId="392" w16cid:durableId="96021595">
    <w:abstractNumId w:val="1415"/>
  </w:num>
  <w:num w:numId="393" w16cid:durableId="1471048637">
    <w:abstractNumId w:val="963"/>
  </w:num>
  <w:num w:numId="394" w16cid:durableId="202716347">
    <w:abstractNumId w:val="792"/>
  </w:num>
  <w:num w:numId="395" w16cid:durableId="620503396">
    <w:abstractNumId w:val="472"/>
  </w:num>
  <w:num w:numId="396" w16cid:durableId="843134291">
    <w:abstractNumId w:val="573"/>
  </w:num>
  <w:num w:numId="397" w16cid:durableId="1042750529">
    <w:abstractNumId w:val="719"/>
  </w:num>
  <w:num w:numId="398" w16cid:durableId="651519885">
    <w:abstractNumId w:val="1323"/>
  </w:num>
  <w:num w:numId="399" w16cid:durableId="1605840646">
    <w:abstractNumId w:val="146"/>
  </w:num>
  <w:num w:numId="400" w16cid:durableId="863640968">
    <w:abstractNumId w:val="561"/>
  </w:num>
  <w:num w:numId="401" w16cid:durableId="461308155">
    <w:abstractNumId w:val="325"/>
  </w:num>
  <w:num w:numId="402" w16cid:durableId="1028216759">
    <w:abstractNumId w:val="1373"/>
  </w:num>
  <w:num w:numId="403" w16cid:durableId="415711135">
    <w:abstractNumId w:val="195"/>
  </w:num>
  <w:num w:numId="404" w16cid:durableId="2021346311">
    <w:abstractNumId w:val="623"/>
  </w:num>
  <w:num w:numId="405" w16cid:durableId="1589264119">
    <w:abstractNumId w:val="1297"/>
  </w:num>
  <w:num w:numId="406" w16cid:durableId="1089540874">
    <w:abstractNumId w:val="474"/>
  </w:num>
  <w:num w:numId="407" w16cid:durableId="493642926">
    <w:abstractNumId w:val="503"/>
  </w:num>
  <w:num w:numId="408" w16cid:durableId="866483930">
    <w:abstractNumId w:val="1085"/>
  </w:num>
  <w:num w:numId="409" w16cid:durableId="1178234313">
    <w:abstractNumId w:val="55"/>
  </w:num>
  <w:num w:numId="410" w16cid:durableId="269553258">
    <w:abstractNumId w:val="526"/>
  </w:num>
  <w:num w:numId="411" w16cid:durableId="667752740">
    <w:abstractNumId w:val="852"/>
  </w:num>
  <w:num w:numId="412" w16cid:durableId="632835154">
    <w:abstractNumId w:val="1027"/>
  </w:num>
  <w:num w:numId="413" w16cid:durableId="748966559">
    <w:abstractNumId w:val="1011"/>
  </w:num>
  <w:num w:numId="414" w16cid:durableId="1502117272">
    <w:abstractNumId w:val="265"/>
  </w:num>
  <w:num w:numId="415" w16cid:durableId="1948344605">
    <w:abstractNumId w:val="297"/>
  </w:num>
  <w:num w:numId="416" w16cid:durableId="1886284329">
    <w:abstractNumId w:val="488"/>
  </w:num>
  <w:num w:numId="417" w16cid:durableId="1662351996">
    <w:abstractNumId w:val="1286"/>
  </w:num>
  <w:num w:numId="418" w16cid:durableId="671640424">
    <w:abstractNumId w:val="38"/>
  </w:num>
  <w:num w:numId="419" w16cid:durableId="1074861892">
    <w:abstractNumId w:val="587"/>
  </w:num>
  <w:num w:numId="420" w16cid:durableId="1124037639">
    <w:abstractNumId w:val="149"/>
  </w:num>
  <w:num w:numId="421" w16cid:durableId="71124193">
    <w:abstractNumId w:val="1299"/>
  </w:num>
  <w:num w:numId="422" w16cid:durableId="1101605285">
    <w:abstractNumId w:val="29"/>
  </w:num>
  <w:num w:numId="423" w16cid:durableId="1554467937">
    <w:abstractNumId w:val="664"/>
  </w:num>
  <w:num w:numId="424" w16cid:durableId="1665624458">
    <w:abstractNumId w:val="807"/>
  </w:num>
  <w:num w:numId="425" w16cid:durableId="455294117">
    <w:abstractNumId w:val="700"/>
  </w:num>
  <w:num w:numId="426" w16cid:durableId="1415396685">
    <w:abstractNumId w:val="381"/>
  </w:num>
  <w:num w:numId="427" w16cid:durableId="2005890326">
    <w:abstractNumId w:val="1169"/>
  </w:num>
  <w:num w:numId="428" w16cid:durableId="737899023">
    <w:abstractNumId w:val="441"/>
  </w:num>
  <w:num w:numId="429" w16cid:durableId="2047370442">
    <w:abstractNumId w:val="1422"/>
  </w:num>
  <w:num w:numId="430" w16cid:durableId="1588690664">
    <w:abstractNumId w:val="1217"/>
  </w:num>
  <w:num w:numId="431" w16cid:durableId="1460371048">
    <w:abstractNumId w:val="638"/>
  </w:num>
  <w:num w:numId="432" w16cid:durableId="1005088989">
    <w:abstractNumId w:val="50"/>
  </w:num>
  <w:num w:numId="433" w16cid:durableId="365643525">
    <w:abstractNumId w:val="1398"/>
  </w:num>
  <w:num w:numId="434" w16cid:durableId="1459641661">
    <w:abstractNumId w:val="538"/>
  </w:num>
  <w:num w:numId="435" w16cid:durableId="1042291892">
    <w:abstractNumId w:val="784"/>
  </w:num>
  <w:num w:numId="436" w16cid:durableId="1814522380">
    <w:abstractNumId w:val="128"/>
  </w:num>
  <w:num w:numId="437" w16cid:durableId="717244063">
    <w:abstractNumId w:val="1033"/>
  </w:num>
  <w:num w:numId="438" w16cid:durableId="2003462415">
    <w:abstractNumId w:val="950"/>
  </w:num>
  <w:num w:numId="439" w16cid:durableId="925501606">
    <w:abstractNumId w:val="125"/>
  </w:num>
  <w:num w:numId="440" w16cid:durableId="1930499537">
    <w:abstractNumId w:val="842"/>
  </w:num>
  <w:num w:numId="441" w16cid:durableId="638923459">
    <w:abstractNumId w:val="580"/>
  </w:num>
  <w:num w:numId="442" w16cid:durableId="847721449">
    <w:abstractNumId w:val="1337"/>
  </w:num>
  <w:num w:numId="443" w16cid:durableId="692192662">
    <w:abstractNumId w:val="251"/>
  </w:num>
  <w:num w:numId="444" w16cid:durableId="2122719538">
    <w:abstractNumId w:val="658"/>
  </w:num>
  <w:num w:numId="445" w16cid:durableId="708650279">
    <w:abstractNumId w:val="849"/>
  </w:num>
  <w:num w:numId="446" w16cid:durableId="205610260">
    <w:abstractNumId w:val="145"/>
  </w:num>
  <w:num w:numId="447" w16cid:durableId="367267770">
    <w:abstractNumId w:val="1137"/>
  </w:num>
  <w:num w:numId="448" w16cid:durableId="2041002925">
    <w:abstractNumId w:val="1088"/>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8"/>
  </w:num>
  <w:num w:numId="454" w16cid:durableId="1530148001">
    <w:abstractNumId w:val="32"/>
  </w:num>
  <w:num w:numId="455" w16cid:durableId="877545808">
    <w:abstractNumId w:val="733"/>
  </w:num>
  <w:num w:numId="456" w16cid:durableId="1006638035">
    <w:abstractNumId w:val="304"/>
  </w:num>
  <w:num w:numId="457" w16cid:durableId="969170757">
    <w:abstractNumId w:val="687"/>
  </w:num>
  <w:num w:numId="458" w16cid:durableId="922103062">
    <w:abstractNumId w:val="594"/>
  </w:num>
  <w:num w:numId="459" w16cid:durableId="1856917980">
    <w:abstractNumId w:val="1383"/>
  </w:num>
  <w:num w:numId="460" w16cid:durableId="419983134">
    <w:abstractNumId w:val="1205"/>
  </w:num>
  <w:num w:numId="461" w16cid:durableId="520702208">
    <w:abstractNumId w:val="377"/>
  </w:num>
  <w:num w:numId="462" w16cid:durableId="1410154136">
    <w:abstractNumId w:val="1175"/>
  </w:num>
  <w:num w:numId="463" w16cid:durableId="2085058217">
    <w:abstractNumId w:val="794"/>
  </w:num>
  <w:num w:numId="464" w16cid:durableId="2066636675">
    <w:abstractNumId w:val="1034"/>
  </w:num>
  <w:num w:numId="465" w16cid:durableId="1944067403">
    <w:abstractNumId w:val="533"/>
  </w:num>
  <w:num w:numId="466" w16cid:durableId="1934699078">
    <w:abstractNumId w:val="231"/>
  </w:num>
  <w:num w:numId="467" w16cid:durableId="1801724067">
    <w:abstractNumId w:val="142"/>
  </w:num>
  <w:num w:numId="468" w16cid:durableId="1240480255">
    <w:abstractNumId w:val="1345"/>
  </w:num>
  <w:num w:numId="469" w16cid:durableId="414253192">
    <w:abstractNumId w:val="1028"/>
  </w:num>
  <w:num w:numId="470" w16cid:durableId="576136946">
    <w:abstractNumId w:val="396"/>
  </w:num>
  <w:num w:numId="471" w16cid:durableId="1460687965">
    <w:abstractNumId w:val="505"/>
  </w:num>
  <w:num w:numId="472" w16cid:durableId="945045190">
    <w:abstractNumId w:val="1014"/>
  </w:num>
  <w:num w:numId="473" w16cid:durableId="1659453457">
    <w:abstractNumId w:val="1236"/>
  </w:num>
  <w:num w:numId="474" w16cid:durableId="256057737">
    <w:abstractNumId w:val="385"/>
  </w:num>
  <w:num w:numId="475" w16cid:durableId="1081101711">
    <w:abstractNumId w:val="968"/>
  </w:num>
  <w:num w:numId="476" w16cid:durableId="545414153">
    <w:abstractNumId w:val="929"/>
  </w:num>
  <w:num w:numId="477" w16cid:durableId="2108621689">
    <w:abstractNumId w:val="422"/>
  </w:num>
  <w:num w:numId="478" w16cid:durableId="1916818707">
    <w:abstractNumId w:val="831"/>
  </w:num>
  <w:num w:numId="479" w16cid:durableId="341400702">
    <w:abstractNumId w:val="1191"/>
  </w:num>
  <w:num w:numId="480" w16cid:durableId="689258452">
    <w:abstractNumId w:val="1026"/>
  </w:num>
  <w:num w:numId="481" w16cid:durableId="1487744522">
    <w:abstractNumId w:val="853"/>
  </w:num>
  <w:num w:numId="482" w16cid:durableId="1888226503">
    <w:abstractNumId w:val="1015"/>
  </w:num>
  <w:num w:numId="483" w16cid:durableId="1700663551">
    <w:abstractNumId w:val="989"/>
  </w:num>
  <w:num w:numId="484" w16cid:durableId="704864510">
    <w:abstractNumId w:val="1109"/>
  </w:num>
  <w:num w:numId="485" w16cid:durableId="1443300169">
    <w:abstractNumId w:val="1423"/>
  </w:num>
  <w:num w:numId="486" w16cid:durableId="648630307">
    <w:abstractNumId w:val="879"/>
  </w:num>
  <w:num w:numId="487" w16cid:durableId="341199056">
    <w:abstractNumId w:val="354"/>
  </w:num>
  <w:num w:numId="488" w16cid:durableId="543294726">
    <w:abstractNumId w:val="534"/>
  </w:num>
  <w:num w:numId="489" w16cid:durableId="1472939268">
    <w:abstractNumId w:val="1406"/>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3"/>
  </w:num>
  <w:num w:numId="497" w16cid:durableId="1767728170">
    <w:abstractNumId w:val="1356"/>
  </w:num>
  <w:num w:numId="498" w16cid:durableId="1901166202">
    <w:abstractNumId w:val="1280"/>
  </w:num>
  <w:num w:numId="499" w16cid:durableId="1725105703">
    <w:abstractNumId w:val="348"/>
  </w:num>
  <w:num w:numId="500" w16cid:durableId="1165517050">
    <w:abstractNumId w:val="858"/>
  </w:num>
  <w:num w:numId="501" w16cid:durableId="677998961">
    <w:abstractNumId w:val="1091"/>
  </w:num>
  <w:num w:numId="502" w16cid:durableId="1558971722">
    <w:abstractNumId w:val="1000"/>
  </w:num>
  <w:num w:numId="503" w16cid:durableId="587008920">
    <w:abstractNumId w:val="340"/>
  </w:num>
  <w:num w:numId="504" w16cid:durableId="2090157183">
    <w:abstractNumId w:val="1204"/>
  </w:num>
  <w:num w:numId="505" w16cid:durableId="299918247">
    <w:abstractNumId w:val="129"/>
  </w:num>
  <w:num w:numId="506" w16cid:durableId="928930393">
    <w:abstractNumId w:val="1440"/>
  </w:num>
  <w:num w:numId="507" w16cid:durableId="1319071821">
    <w:abstractNumId w:val="334"/>
  </w:num>
  <w:num w:numId="508" w16cid:durableId="2143378532">
    <w:abstractNumId w:val="741"/>
  </w:num>
  <w:num w:numId="509" w16cid:durableId="662008006">
    <w:abstractNumId w:val="211"/>
  </w:num>
  <w:num w:numId="510" w16cid:durableId="511844933">
    <w:abstractNumId w:val="722"/>
  </w:num>
  <w:num w:numId="511" w16cid:durableId="1635597940">
    <w:abstractNumId w:val="740"/>
  </w:num>
  <w:num w:numId="512" w16cid:durableId="621887462">
    <w:abstractNumId w:val="1346"/>
  </w:num>
  <w:num w:numId="513" w16cid:durableId="386494938">
    <w:abstractNumId w:val="959"/>
  </w:num>
  <w:num w:numId="514" w16cid:durableId="289288269">
    <w:abstractNumId w:val="1417"/>
  </w:num>
  <w:num w:numId="515" w16cid:durableId="596446112">
    <w:abstractNumId w:val="563"/>
  </w:num>
  <w:num w:numId="516" w16cid:durableId="766850244">
    <w:abstractNumId w:val="1416"/>
  </w:num>
  <w:num w:numId="517" w16cid:durableId="12726738">
    <w:abstractNumId w:val="89"/>
  </w:num>
  <w:num w:numId="518" w16cid:durableId="323507189">
    <w:abstractNumId w:val="434"/>
  </w:num>
  <w:num w:numId="519" w16cid:durableId="513611245">
    <w:abstractNumId w:val="1166"/>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09"/>
  </w:num>
  <w:num w:numId="527" w16cid:durableId="128867102">
    <w:abstractNumId w:val="278"/>
  </w:num>
  <w:num w:numId="528" w16cid:durableId="1786264987">
    <w:abstractNumId w:val="1430"/>
  </w:num>
  <w:num w:numId="529" w16cid:durableId="587349821">
    <w:abstractNumId w:val="1173"/>
  </w:num>
  <w:num w:numId="530" w16cid:durableId="1049693748">
    <w:abstractNumId w:val="964"/>
  </w:num>
  <w:num w:numId="531" w16cid:durableId="554120007">
    <w:abstractNumId w:val="185"/>
  </w:num>
  <w:num w:numId="532" w16cid:durableId="1640064105">
    <w:abstractNumId w:val="115"/>
  </w:num>
  <w:num w:numId="533" w16cid:durableId="1400709691">
    <w:abstractNumId w:val="729"/>
  </w:num>
  <w:num w:numId="534" w16cid:durableId="2050109136">
    <w:abstractNumId w:val="860"/>
  </w:num>
  <w:num w:numId="535" w16cid:durableId="328874901">
    <w:abstractNumId w:val="96"/>
  </w:num>
  <w:num w:numId="536" w16cid:durableId="2023629925">
    <w:abstractNumId w:val="891"/>
  </w:num>
  <w:num w:numId="537" w16cid:durableId="2027516428">
    <w:abstractNumId w:val="180"/>
  </w:num>
  <w:num w:numId="538" w16cid:durableId="220218707">
    <w:abstractNumId w:val="1095"/>
  </w:num>
  <w:num w:numId="539" w16cid:durableId="877859108">
    <w:abstractNumId w:val="1242"/>
  </w:num>
  <w:num w:numId="540" w16cid:durableId="879322348">
    <w:abstractNumId w:val="1147"/>
  </w:num>
  <w:num w:numId="541" w16cid:durableId="12920828">
    <w:abstractNumId w:val="380"/>
  </w:num>
  <w:num w:numId="542" w16cid:durableId="393161743">
    <w:abstractNumId w:val="233"/>
  </w:num>
  <w:num w:numId="543" w16cid:durableId="1883513134">
    <w:abstractNumId w:val="210"/>
  </w:num>
  <w:num w:numId="544" w16cid:durableId="236205444">
    <w:abstractNumId w:val="1144"/>
  </w:num>
  <w:num w:numId="545" w16cid:durableId="1113480679">
    <w:abstractNumId w:val="965"/>
  </w:num>
  <w:num w:numId="546" w16cid:durableId="1107702359">
    <w:abstractNumId w:val="754"/>
  </w:num>
  <w:num w:numId="547" w16cid:durableId="1649241966">
    <w:abstractNumId w:val="390"/>
  </w:num>
  <w:num w:numId="548" w16cid:durableId="534998337">
    <w:abstractNumId w:val="568"/>
  </w:num>
  <w:num w:numId="549" w16cid:durableId="372536703">
    <w:abstractNumId w:val="1375"/>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7"/>
  </w:num>
  <w:num w:numId="555" w16cid:durableId="681660798">
    <w:abstractNumId w:val="1285"/>
  </w:num>
  <w:num w:numId="556" w16cid:durableId="599994696">
    <w:abstractNumId w:val="971"/>
  </w:num>
  <w:num w:numId="557" w16cid:durableId="1355884859">
    <w:abstractNumId w:val="12"/>
  </w:num>
  <w:num w:numId="558" w16cid:durableId="1691369349">
    <w:abstractNumId w:val="1165"/>
  </w:num>
  <w:num w:numId="559" w16cid:durableId="463041973">
    <w:abstractNumId w:val="789"/>
  </w:num>
  <w:num w:numId="560" w16cid:durableId="1888444756">
    <w:abstractNumId w:val="985"/>
  </w:num>
  <w:num w:numId="561" w16cid:durableId="419716542">
    <w:abstractNumId w:val="508"/>
  </w:num>
  <w:num w:numId="562" w16cid:durableId="2083487018">
    <w:abstractNumId w:val="614"/>
  </w:num>
  <w:num w:numId="563" w16cid:durableId="251428428">
    <w:abstractNumId w:val="54"/>
  </w:num>
  <w:num w:numId="564" w16cid:durableId="115875833">
    <w:abstractNumId w:val="1200"/>
  </w:num>
  <w:num w:numId="565" w16cid:durableId="1259826701">
    <w:abstractNumId w:val="569"/>
  </w:num>
  <w:num w:numId="566" w16cid:durableId="1103526416">
    <w:abstractNumId w:val="100"/>
  </w:num>
  <w:num w:numId="567" w16cid:durableId="2031564252">
    <w:abstractNumId w:val="1302"/>
  </w:num>
  <w:num w:numId="568" w16cid:durableId="1945069369">
    <w:abstractNumId w:val="446"/>
  </w:num>
  <w:num w:numId="569" w16cid:durableId="1351949825">
    <w:abstractNumId w:val="882"/>
  </w:num>
  <w:num w:numId="570" w16cid:durableId="1426075682">
    <w:abstractNumId w:val="815"/>
  </w:num>
  <w:num w:numId="571" w16cid:durableId="1014963151">
    <w:abstractNumId w:val="1023"/>
  </w:num>
  <w:num w:numId="572" w16cid:durableId="2066828849">
    <w:abstractNumId w:val="109"/>
  </w:num>
  <w:num w:numId="573" w16cid:durableId="40248047">
    <w:abstractNumId w:val="1409"/>
  </w:num>
  <w:num w:numId="574" w16cid:durableId="1836797418">
    <w:abstractNumId w:val="857"/>
  </w:num>
  <w:num w:numId="575" w16cid:durableId="1035815555">
    <w:abstractNumId w:val="673"/>
  </w:num>
  <w:num w:numId="576" w16cid:durableId="1121455565">
    <w:abstractNumId w:val="1007"/>
  </w:num>
  <w:num w:numId="577" w16cid:durableId="310406978">
    <w:abstractNumId w:val="480"/>
  </w:num>
  <w:num w:numId="578" w16cid:durableId="254099450">
    <w:abstractNumId w:val="1371"/>
  </w:num>
  <w:num w:numId="579" w16cid:durableId="269581399">
    <w:abstractNumId w:val="888"/>
  </w:num>
  <w:num w:numId="580" w16cid:durableId="2025084023">
    <w:abstractNumId w:val="346"/>
  </w:num>
  <w:num w:numId="581" w16cid:durableId="562833199">
    <w:abstractNumId w:val="406"/>
  </w:num>
  <w:num w:numId="582" w16cid:durableId="1918905849">
    <w:abstractNumId w:val="1254"/>
  </w:num>
  <w:num w:numId="583" w16cid:durableId="1496341346">
    <w:abstractNumId w:val="77"/>
  </w:num>
  <w:num w:numId="584" w16cid:durableId="57367746">
    <w:abstractNumId w:val="675"/>
  </w:num>
  <w:num w:numId="585" w16cid:durableId="1070887125">
    <w:abstractNumId w:val="172"/>
  </w:num>
  <w:num w:numId="586" w16cid:durableId="1665861435">
    <w:abstractNumId w:val="1253"/>
  </w:num>
  <w:num w:numId="587" w16cid:durableId="466438093">
    <w:abstractNumId w:val="463"/>
  </w:num>
  <w:num w:numId="588" w16cid:durableId="1387949686">
    <w:abstractNumId w:val="398"/>
  </w:num>
  <w:num w:numId="589" w16cid:durableId="1814981415">
    <w:abstractNumId w:val="80"/>
  </w:num>
  <w:num w:numId="590" w16cid:durableId="263344296">
    <w:abstractNumId w:val="1139"/>
  </w:num>
  <w:num w:numId="591" w16cid:durableId="2064405683">
    <w:abstractNumId w:val="114"/>
  </w:num>
  <w:num w:numId="592" w16cid:durableId="1295524011">
    <w:abstractNumId w:val="1338"/>
  </w:num>
  <w:num w:numId="593" w16cid:durableId="149248697">
    <w:abstractNumId w:val="811"/>
  </w:num>
  <w:num w:numId="594" w16cid:durableId="939029239">
    <w:abstractNumId w:val="596"/>
  </w:num>
  <w:num w:numId="595" w16cid:durableId="1312059963">
    <w:abstractNumId w:val="4"/>
  </w:num>
  <w:num w:numId="596" w16cid:durableId="68161455">
    <w:abstractNumId w:val="943"/>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2"/>
  </w:num>
  <w:num w:numId="604" w16cid:durableId="854805570">
    <w:abstractNumId w:val="91"/>
  </w:num>
  <w:num w:numId="605" w16cid:durableId="1452699353">
    <w:abstractNumId w:val="490"/>
  </w:num>
  <w:num w:numId="606" w16cid:durableId="1177188870">
    <w:abstractNumId w:val="1404"/>
  </w:num>
  <w:num w:numId="607" w16cid:durableId="207033878">
    <w:abstractNumId w:val="213"/>
  </w:num>
  <w:num w:numId="608" w16cid:durableId="1838567874">
    <w:abstractNumId w:val="234"/>
  </w:num>
  <w:num w:numId="609" w16cid:durableId="1716805706">
    <w:abstractNumId w:val="367"/>
  </w:num>
  <w:num w:numId="610" w16cid:durableId="1118909330">
    <w:abstractNumId w:val="1199"/>
  </w:num>
  <w:num w:numId="611" w16cid:durableId="469907470">
    <w:abstractNumId w:val="1190"/>
  </w:num>
  <w:num w:numId="612" w16cid:durableId="593975641">
    <w:abstractNumId w:val="545"/>
  </w:num>
  <w:num w:numId="613" w16cid:durableId="1831016587">
    <w:abstractNumId w:val="1113"/>
  </w:num>
  <w:num w:numId="614" w16cid:durableId="1026180496">
    <w:abstractNumId w:val="909"/>
  </w:num>
  <w:num w:numId="615" w16cid:durableId="2053993373">
    <w:abstractNumId w:val="423"/>
  </w:num>
  <w:num w:numId="616" w16cid:durableId="236868908">
    <w:abstractNumId w:val="881"/>
  </w:num>
  <w:num w:numId="617" w16cid:durableId="981499143">
    <w:abstractNumId w:val="52"/>
  </w:num>
  <w:num w:numId="618" w16cid:durableId="1472599791">
    <w:abstractNumId w:val="440"/>
  </w:num>
  <w:num w:numId="619" w16cid:durableId="2110081012">
    <w:abstractNumId w:val="862"/>
  </w:num>
  <w:num w:numId="620" w16cid:durableId="769934126">
    <w:abstractNumId w:val="130"/>
  </w:num>
  <w:num w:numId="621" w16cid:durableId="1899509624">
    <w:abstractNumId w:val="1405"/>
  </w:num>
  <w:num w:numId="622" w16cid:durableId="945111320">
    <w:abstractNumId w:val="780"/>
  </w:num>
  <w:num w:numId="623" w16cid:durableId="1730225764">
    <w:abstractNumId w:val="1268"/>
  </w:num>
  <w:num w:numId="624" w16cid:durableId="2138596836">
    <w:abstractNumId w:val="1324"/>
  </w:num>
  <w:num w:numId="625" w16cid:durableId="618872773">
    <w:abstractNumId w:val="1126"/>
  </w:num>
  <w:num w:numId="626" w16cid:durableId="889994789">
    <w:abstractNumId w:val="131"/>
  </w:num>
  <w:num w:numId="627" w16cid:durableId="85924420">
    <w:abstractNumId w:val="1094"/>
  </w:num>
  <w:num w:numId="628" w16cid:durableId="1608584761">
    <w:abstractNumId w:val="1328"/>
  </w:num>
  <w:num w:numId="629" w16cid:durableId="1181967259">
    <w:abstractNumId w:val="319"/>
  </w:num>
  <w:num w:numId="630" w16cid:durableId="53167713">
    <w:abstractNumId w:val="655"/>
  </w:num>
  <w:num w:numId="631" w16cid:durableId="700087051">
    <w:abstractNumId w:val="844"/>
  </w:num>
  <w:num w:numId="632" w16cid:durableId="534854435">
    <w:abstractNumId w:val="914"/>
  </w:num>
  <w:num w:numId="633" w16cid:durableId="1700473835">
    <w:abstractNumId w:val="1352"/>
  </w:num>
  <w:num w:numId="634" w16cid:durableId="40058717">
    <w:abstractNumId w:val="344"/>
  </w:num>
  <w:num w:numId="635" w16cid:durableId="65080512">
    <w:abstractNumId w:val="1041"/>
  </w:num>
  <w:num w:numId="636" w16cid:durableId="1639846155">
    <w:abstractNumId w:val="941"/>
  </w:num>
  <w:num w:numId="637" w16cid:durableId="18708019">
    <w:abstractNumId w:val="612"/>
  </w:num>
  <w:num w:numId="638" w16cid:durableId="1517768189">
    <w:abstractNumId w:val="1222"/>
  </w:num>
  <w:num w:numId="639" w16cid:durableId="997226141">
    <w:abstractNumId w:val="838"/>
  </w:num>
  <w:num w:numId="640" w16cid:durableId="747580948">
    <w:abstractNumId w:val="770"/>
  </w:num>
  <w:num w:numId="641" w16cid:durableId="1948266122">
    <w:abstractNumId w:val="69"/>
  </w:num>
  <w:num w:numId="642" w16cid:durableId="581721648">
    <w:abstractNumId w:val="1062"/>
  </w:num>
  <w:num w:numId="643" w16cid:durableId="504591785">
    <w:abstractNumId w:val="228"/>
  </w:num>
  <w:num w:numId="644" w16cid:durableId="501244435">
    <w:abstractNumId w:val="851"/>
  </w:num>
  <w:num w:numId="645" w16cid:durableId="1311328674">
    <w:abstractNumId w:val="901"/>
  </w:num>
  <w:num w:numId="646" w16cid:durableId="529614464">
    <w:abstractNumId w:val="259"/>
  </w:num>
  <w:num w:numId="647" w16cid:durableId="1826700992">
    <w:abstractNumId w:val="1288"/>
  </w:num>
  <w:num w:numId="648" w16cid:durableId="247740498">
    <w:abstractNumId w:val="429"/>
  </w:num>
  <w:num w:numId="649" w16cid:durableId="1440370845">
    <w:abstractNumId w:val="1092"/>
  </w:num>
  <w:num w:numId="650" w16cid:durableId="1775712497">
    <w:abstractNumId w:val="1195"/>
  </w:num>
  <w:num w:numId="651" w16cid:durableId="643389295">
    <w:abstractNumId w:val="1314"/>
  </w:num>
  <w:num w:numId="652" w16cid:durableId="406542091">
    <w:abstractNumId w:val="793"/>
  </w:num>
  <w:num w:numId="653" w16cid:durableId="209414842">
    <w:abstractNumId w:val="1186"/>
  </w:num>
  <w:num w:numId="654" w16cid:durableId="601186307">
    <w:abstractNumId w:val="403"/>
  </w:num>
  <w:num w:numId="655" w16cid:durableId="675956916">
    <w:abstractNumId w:val="1090"/>
  </w:num>
  <w:num w:numId="656" w16cid:durableId="1999918321">
    <w:abstractNumId w:val="49"/>
  </w:num>
  <w:num w:numId="657" w16cid:durableId="2062900467">
    <w:abstractNumId w:val="105"/>
  </w:num>
  <w:num w:numId="658" w16cid:durableId="390883666">
    <w:abstractNumId w:val="1073"/>
  </w:num>
  <w:num w:numId="659" w16cid:durableId="1280798684">
    <w:abstractNumId w:val="1331"/>
  </w:num>
  <w:num w:numId="660" w16cid:durableId="460929087">
    <w:abstractNumId w:val="1432"/>
  </w:num>
  <w:num w:numId="661" w16cid:durableId="424306230">
    <w:abstractNumId w:val="82"/>
  </w:num>
  <w:num w:numId="662" w16cid:durableId="22832202">
    <w:abstractNumId w:val="1072"/>
  </w:num>
  <w:num w:numId="663" w16cid:durableId="1201894469">
    <w:abstractNumId w:val="58"/>
  </w:num>
  <w:num w:numId="664" w16cid:durableId="1372657668">
    <w:abstractNumId w:val="1407"/>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7"/>
  </w:num>
  <w:num w:numId="674" w16cid:durableId="135798877">
    <w:abstractNumId w:val="854"/>
  </w:num>
  <w:num w:numId="675" w16cid:durableId="1114010244">
    <w:abstractNumId w:val="646"/>
  </w:num>
  <w:num w:numId="676" w16cid:durableId="345134555">
    <w:abstractNumId w:val="1284"/>
  </w:num>
  <w:num w:numId="677" w16cid:durableId="1816214161">
    <w:abstractNumId w:val="895"/>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5"/>
  </w:num>
  <w:num w:numId="683" w16cid:durableId="1115827582">
    <w:abstractNumId w:val="19"/>
  </w:num>
  <w:num w:numId="684" w16cid:durableId="2064407845">
    <w:abstractNumId w:val="1198"/>
  </w:num>
  <w:num w:numId="685" w16cid:durableId="476650467">
    <w:abstractNumId w:val="1419"/>
  </w:num>
  <w:num w:numId="686" w16cid:durableId="209803825">
    <w:abstractNumId w:val="59"/>
  </w:num>
  <w:num w:numId="687" w16cid:durableId="1103763264">
    <w:abstractNumId w:val="464"/>
  </w:num>
  <w:num w:numId="688" w16cid:durableId="402068200">
    <w:abstractNumId w:val="1129"/>
  </w:num>
  <w:num w:numId="689" w16cid:durableId="1937857157">
    <w:abstractNumId w:val="610"/>
  </w:num>
  <w:num w:numId="690" w16cid:durableId="1651790330">
    <w:abstractNumId w:val="1279"/>
  </w:num>
  <w:num w:numId="691" w16cid:durableId="405108070">
    <w:abstractNumId w:val="1295"/>
  </w:num>
  <w:num w:numId="692" w16cid:durableId="284046186">
    <w:abstractNumId w:val="1327"/>
  </w:num>
  <w:num w:numId="693" w16cid:durableId="608241468">
    <w:abstractNumId w:val="1057"/>
  </w:num>
  <w:num w:numId="694" w16cid:durableId="805046396">
    <w:abstractNumId w:val="1146"/>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7"/>
  </w:num>
  <w:num w:numId="701" w16cid:durableId="2001081423">
    <w:abstractNumId w:val="681"/>
  </w:num>
  <w:num w:numId="702" w16cid:durableId="1519467280">
    <w:abstractNumId w:val="1232"/>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1"/>
  </w:num>
  <w:num w:numId="709" w16cid:durableId="1101218055">
    <w:abstractNumId w:val="776"/>
  </w:num>
  <w:num w:numId="710" w16cid:durableId="1616281228">
    <w:abstractNumId w:val="21"/>
  </w:num>
  <w:num w:numId="711" w16cid:durableId="290940516">
    <w:abstractNumId w:val="899"/>
  </w:num>
  <w:num w:numId="712" w16cid:durableId="1602907955">
    <w:abstractNumId w:val="280"/>
  </w:num>
  <w:num w:numId="713" w16cid:durableId="1481726239">
    <w:abstractNumId w:val="1210"/>
  </w:num>
  <w:num w:numId="714" w16cid:durableId="830407443">
    <w:abstractNumId w:val="1084"/>
  </w:num>
  <w:num w:numId="715" w16cid:durableId="397362878">
    <w:abstractNumId w:val="1119"/>
  </w:num>
  <w:num w:numId="716" w16cid:durableId="632641605">
    <w:abstractNumId w:val="1203"/>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4"/>
  </w:num>
  <w:num w:numId="722" w16cid:durableId="434400533">
    <w:abstractNumId w:val="507"/>
  </w:num>
  <w:num w:numId="723" w16cid:durableId="2124107196">
    <w:abstractNumId w:val="1357"/>
  </w:num>
  <w:num w:numId="724" w16cid:durableId="1490288984">
    <w:abstractNumId w:val="705"/>
  </w:num>
  <w:num w:numId="725" w16cid:durableId="956528666">
    <w:abstractNumId w:val="1183"/>
  </w:num>
  <w:num w:numId="726" w16cid:durableId="1312174532">
    <w:abstractNumId w:val="958"/>
  </w:num>
  <w:num w:numId="727" w16cid:durableId="1502508218">
    <w:abstractNumId w:val="836"/>
  </w:num>
  <w:num w:numId="728" w16cid:durableId="1286740813">
    <w:abstractNumId w:val="783"/>
  </w:num>
  <w:num w:numId="729" w16cid:durableId="38630500">
    <w:abstractNumId w:val="1227"/>
  </w:num>
  <w:num w:numId="730" w16cid:durableId="1809322392">
    <w:abstractNumId w:val="216"/>
  </w:num>
  <w:num w:numId="731" w16cid:durableId="633484523">
    <w:abstractNumId w:val="113"/>
  </w:num>
  <w:num w:numId="732" w16cid:durableId="1588997707">
    <w:abstractNumId w:val="1418"/>
  </w:num>
  <w:num w:numId="733" w16cid:durableId="681862641">
    <w:abstractNumId w:val="742"/>
  </w:num>
  <w:num w:numId="734" w16cid:durableId="185220916">
    <w:abstractNumId w:val="536"/>
  </w:num>
  <w:num w:numId="735" w16cid:durableId="1645158780">
    <w:abstractNumId w:val="1202"/>
  </w:num>
  <w:num w:numId="736" w16cid:durableId="1039162996">
    <w:abstractNumId w:val="1182"/>
  </w:num>
  <w:num w:numId="737" w16cid:durableId="1242064223">
    <w:abstractNumId w:val="1022"/>
  </w:num>
  <w:num w:numId="738" w16cid:durableId="876158325">
    <w:abstractNumId w:val="871"/>
  </w:num>
  <w:num w:numId="739" w16cid:durableId="1086540029">
    <w:abstractNumId w:val="1243"/>
  </w:num>
  <w:num w:numId="740" w16cid:durableId="1172716794">
    <w:abstractNumId w:val="942"/>
  </w:num>
  <w:num w:numId="741" w16cid:durableId="371619243">
    <w:abstractNumId w:val="519"/>
  </w:num>
  <w:num w:numId="742" w16cid:durableId="2442256">
    <w:abstractNumId w:val="356"/>
  </w:num>
  <w:num w:numId="743" w16cid:durableId="1844584118">
    <w:abstractNumId w:val="893"/>
  </w:num>
  <w:num w:numId="744" w16cid:durableId="1407148680">
    <w:abstractNumId w:val="1051"/>
  </w:num>
  <w:num w:numId="745" w16cid:durableId="1194340180">
    <w:abstractNumId w:val="56"/>
  </w:num>
  <w:num w:numId="746" w16cid:durableId="1471246644">
    <w:abstractNumId w:val="1184"/>
  </w:num>
  <w:num w:numId="747" w16cid:durableId="592978528">
    <w:abstractNumId w:val="917"/>
  </w:num>
  <w:num w:numId="748" w16cid:durableId="1860922187">
    <w:abstractNumId w:val="763"/>
  </w:num>
  <w:num w:numId="749" w16cid:durableId="1706710126">
    <w:abstractNumId w:val="1433"/>
  </w:num>
  <w:num w:numId="750" w16cid:durableId="1480726770">
    <w:abstractNumId w:val="31"/>
  </w:num>
  <w:num w:numId="751" w16cid:durableId="598485685">
    <w:abstractNumId w:val="484"/>
  </w:num>
  <w:num w:numId="752" w16cid:durableId="594748081">
    <w:abstractNumId w:val="1100"/>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8"/>
  </w:num>
  <w:num w:numId="758" w16cid:durableId="192505131">
    <w:abstractNumId w:val="761"/>
  </w:num>
  <w:num w:numId="759" w16cid:durableId="1707099757">
    <w:abstractNumId w:val="311"/>
  </w:num>
  <w:num w:numId="760" w16cid:durableId="105390201">
    <w:abstractNumId w:val="1045"/>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4"/>
  </w:num>
  <w:num w:numId="768" w16cid:durableId="461851740">
    <w:abstractNumId w:val="308"/>
  </w:num>
  <w:num w:numId="769" w16cid:durableId="480191753">
    <w:abstractNumId w:val="379"/>
  </w:num>
  <w:num w:numId="770" w16cid:durableId="1944801068">
    <w:abstractNumId w:val="1261"/>
  </w:num>
  <w:num w:numId="771" w16cid:durableId="2130128505">
    <w:abstractNumId w:val="659"/>
  </w:num>
  <w:num w:numId="772" w16cid:durableId="422531808">
    <w:abstractNumId w:val="1211"/>
  </w:num>
  <w:num w:numId="773" w16cid:durableId="413405855">
    <w:abstractNumId w:val="768"/>
  </w:num>
  <w:num w:numId="774" w16cid:durableId="452557791">
    <w:abstractNumId w:val="896"/>
  </w:num>
  <w:num w:numId="775" w16cid:durableId="1802502465">
    <w:abstractNumId w:val="750"/>
  </w:num>
  <w:num w:numId="776" w16cid:durableId="1348018523">
    <w:abstractNumId w:val="930"/>
  </w:num>
  <w:num w:numId="777" w16cid:durableId="1410158754">
    <w:abstractNumId w:val="476"/>
  </w:num>
  <w:num w:numId="778" w16cid:durableId="200897298">
    <w:abstractNumId w:val="323"/>
  </w:num>
  <w:num w:numId="779" w16cid:durableId="1027483542">
    <w:abstractNumId w:val="1216"/>
  </w:num>
  <w:num w:numId="780" w16cid:durableId="1680814637">
    <w:abstractNumId w:val="579"/>
  </w:num>
  <w:num w:numId="781" w16cid:durableId="529879143">
    <w:abstractNumId w:val="1214"/>
  </w:num>
  <w:num w:numId="782" w16cid:durableId="1455562817">
    <w:abstractNumId w:val="565"/>
  </w:num>
  <w:num w:numId="783" w16cid:durableId="104663717">
    <w:abstractNumId w:val="127"/>
  </w:num>
  <w:num w:numId="784" w16cid:durableId="61146534">
    <w:abstractNumId w:val="765"/>
  </w:num>
  <w:num w:numId="785" w16cid:durableId="1657296051">
    <w:abstractNumId w:val="670"/>
  </w:num>
  <w:num w:numId="786" w16cid:durableId="599414717">
    <w:abstractNumId w:val="264"/>
  </w:num>
  <w:num w:numId="787" w16cid:durableId="1190217040">
    <w:abstractNumId w:val="60"/>
  </w:num>
  <w:num w:numId="788" w16cid:durableId="1510027838">
    <w:abstractNumId w:val="1401"/>
  </w:num>
  <w:num w:numId="789" w16cid:durableId="810711670">
    <w:abstractNumId w:val="314"/>
  </w:num>
  <w:num w:numId="790" w16cid:durableId="1289817948">
    <w:abstractNumId w:val="1330"/>
  </w:num>
  <w:num w:numId="791" w16cid:durableId="1884363376">
    <w:abstractNumId w:val="1020"/>
  </w:num>
  <w:num w:numId="792" w16cid:durableId="2036731671">
    <w:abstractNumId w:val="375"/>
  </w:num>
  <w:num w:numId="793" w16cid:durableId="746659319">
    <w:abstractNumId w:val="285"/>
  </w:num>
  <w:num w:numId="794" w16cid:durableId="912929932">
    <w:abstractNumId w:val="919"/>
  </w:num>
  <w:num w:numId="795" w16cid:durableId="483545488">
    <w:abstractNumId w:val="1172"/>
  </w:num>
  <w:num w:numId="796" w16cid:durableId="1327126382">
    <w:abstractNumId w:val="1150"/>
  </w:num>
  <w:num w:numId="797" w16cid:durableId="1831946988">
    <w:abstractNumId w:val="111"/>
  </w:num>
  <w:num w:numId="798" w16cid:durableId="145438328">
    <w:abstractNumId w:val="810"/>
  </w:num>
  <w:num w:numId="799" w16cid:durableId="1657765156">
    <w:abstractNumId w:val="450"/>
  </w:num>
  <w:num w:numId="800" w16cid:durableId="607809252">
    <w:abstractNumId w:val="1159"/>
  </w:num>
  <w:num w:numId="801" w16cid:durableId="57631722">
    <w:abstractNumId w:val="229"/>
  </w:num>
  <w:num w:numId="802" w16cid:durableId="1718891592">
    <w:abstractNumId w:val="137"/>
  </w:num>
  <w:num w:numId="803" w16cid:durableId="2059552761">
    <w:abstractNumId w:val="1055"/>
  </w:num>
  <w:num w:numId="804" w16cid:durableId="1543714854">
    <w:abstractNumId w:val="837"/>
  </w:num>
  <w:num w:numId="805" w16cid:durableId="1288857726">
    <w:abstractNumId w:val="581"/>
  </w:num>
  <w:num w:numId="806" w16cid:durableId="58331801">
    <w:abstractNumId w:val="207"/>
  </w:num>
  <w:num w:numId="807" w16cid:durableId="495346656">
    <w:abstractNumId w:val="497"/>
  </w:num>
  <w:num w:numId="808" w16cid:durableId="1460995016">
    <w:abstractNumId w:val="1065"/>
  </w:num>
  <w:num w:numId="809" w16cid:durableId="1196893351">
    <w:abstractNumId w:val="910"/>
  </w:num>
  <w:num w:numId="810" w16cid:durableId="1501506058">
    <w:abstractNumId w:val="1218"/>
  </w:num>
  <w:num w:numId="811" w16cid:durableId="37436335">
    <w:abstractNumId w:val="785"/>
  </w:num>
  <w:num w:numId="812" w16cid:durableId="2043169292">
    <w:abstractNumId w:val="738"/>
  </w:num>
  <w:num w:numId="813" w16cid:durableId="1916209206">
    <w:abstractNumId w:val="201"/>
  </w:num>
  <w:num w:numId="814" w16cid:durableId="1093017285">
    <w:abstractNumId w:val="160"/>
  </w:num>
  <w:num w:numId="815" w16cid:durableId="402072812">
    <w:abstractNumId w:val="711"/>
  </w:num>
  <w:num w:numId="816" w16cid:durableId="1036079716">
    <w:abstractNumId w:val="1059"/>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5"/>
  </w:num>
  <w:num w:numId="823" w16cid:durableId="820385098">
    <w:abstractNumId w:val="827"/>
  </w:num>
  <w:num w:numId="824" w16cid:durableId="2045596753">
    <w:abstractNumId w:val="470"/>
  </w:num>
  <w:num w:numId="825" w16cid:durableId="1575778694">
    <w:abstractNumId w:val="457"/>
  </w:num>
  <w:num w:numId="826" w16cid:durableId="1750079616">
    <w:abstractNumId w:val="960"/>
  </w:num>
  <w:num w:numId="827" w16cid:durableId="593131757">
    <w:abstractNumId w:val="668"/>
  </w:num>
  <w:num w:numId="828" w16cid:durableId="1602640139">
    <w:abstractNumId w:val="953"/>
  </w:num>
  <w:num w:numId="829" w16cid:durableId="1095173698">
    <w:abstractNumId w:val="997"/>
  </w:num>
  <w:num w:numId="830" w16cid:durableId="1231234351">
    <w:abstractNumId w:val="1114"/>
  </w:num>
  <w:num w:numId="831" w16cid:durableId="1121413637">
    <w:abstractNumId w:val="14"/>
  </w:num>
  <w:num w:numId="832" w16cid:durableId="585454338">
    <w:abstractNumId w:val="782"/>
  </w:num>
  <w:num w:numId="833" w16cid:durableId="888498571">
    <w:abstractNumId w:val="1366"/>
  </w:num>
  <w:num w:numId="834" w16cid:durableId="1015962976">
    <w:abstractNumId w:val="654"/>
  </w:num>
  <w:num w:numId="835" w16cid:durableId="1988510941">
    <w:abstractNumId w:val="276"/>
  </w:num>
  <w:num w:numId="836" w16cid:durableId="333263078">
    <w:abstractNumId w:val="181"/>
  </w:num>
  <w:num w:numId="837" w16cid:durableId="768235794">
    <w:abstractNumId w:val="962"/>
  </w:num>
  <w:num w:numId="838" w16cid:durableId="1102342924">
    <w:abstractNumId w:val="459"/>
  </w:num>
  <w:num w:numId="839" w16cid:durableId="139689352">
    <w:abstractNumId w:val="1420"/>
  </w:num>
  <w:num w:numId="840" w16cid:durableId="650908612">
    <w:abstractNumId w:val="1181"/>
  </w:num>
  <w:num w:numId="841" w16cid:durableId="68315140">
    <w:abstractNumId w:val="806"/>
  </w:num>
  <w:num w:numId="842" w16cid:durableId="1043555309">
    <w:abstractNumId w:val="23"/>
  </w:num>
  <w:num w:numId="843" w16cid:durableId="907770681">
    <w:abstractNumId w:val="840"/>
  </w:num>
  <w:num w:numId="844" w16cid:durableId="512842986">
    <w:abstractNumId w:val="1170"/>
  </w:num>
  <w:num w:numId="845" w16cid:durableId="1248658470">
    <w:abstractNumId w:val="912"/>
  </w:num>
  <w:num w:numId="846" w16cid:durableId="1749040765">
    <w:abstractNumId w:val="803"/>
  </w:num>
  <w:num w:numId="847" w16cid:durableId="212817354">
    <w:abstractNumId w:val="75"/>
  </w:num>
  <w:num w:numId="848" w16cid:durableId="14431514">
    <w:abstractNumId w:val="1353"/>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39"/>
  </w:num>
  <w:num w:numId="857" w16cid:durableId="551816637">
    <w:abstractNumId w:val="966"/>
  </w:num>
  <w:num w:numId="858" w16cid:durableId="1073746297">
    <w:abstractNumId w:val="1265"/>
  </w:num>
  <w:num w:numId="859" w16cid:durableId="78720050">
    <w:abstractNumId w:val="138"/>
  </w:num>
  <w:num w:numId="860" w16cid:durableId="797383495">
    <w:abstractNumId w:val="885"/>
  </w:num>
  <w:num w:numId="861" w16cid:durableId="988750636">
    <w:abstractNumId w:val="1089"/>
  </w:num>
  <w:num w:numId="862" w16cid:durableId="47150311">
    <w:abstractNumId w:val="725"/>
  </w:num>
  <w:num w:numId="863" w16cid:durableId="555434942">
    <w:abstractNumId w:val="177"/>
  </w:num>
  <w:num w:numId="864" w16cid:durableId="361446355">
    <w:abstractNumId w:val="36"/>
  </w:num>
  <w:num w:numId="865" w16cid:durableId="1499922644">
    <w:abstractNumId w:val="378"/>
  </w:num>
  <w:num w:numId="866" w16cid:durableId="1935625802">
    <w:abstractNumId w:val="1032"/>
  </w:num>
  <w:num w:numId="867" w16cid:durableId="597561545">
    <w:abstractNumId w:val="165"/>
  </w:num>
  <w:num w:numId="868" w16cid:durableId="300306343">
    <w:abstractNumId w:val="759"/>
  </w:num>
  <w:num w:numId="869" w16cid:durableId="1616868554">
    <w:abstractNumId w:val="1296"/>
  </w:num>
  <w:num w:numId="870" w16cid:durableId="789400015">
    <w:abstractNumId w:val="175"/>
  </w:num>
  <w:num w:numId="871" w16cid:durableId="1209294270">
    <w:abstractNumId w:val="1117"/>
  </w:num>
  <w:num w:numId="872" w16cid:durableId="237591880">
    <w:abstractNumId w:val="84"/>
  </w:num>
  <w:num w:numId="873" w16cid:durableId="1451317575">
    <w:abstractNumId w:val="850"/>
  </w:num>
  <w:num w:numId="874" w16cid:durableId="1407069045">
    <w:abstractNumId w:val="648"/>
  </w:num>
  <w:num w:numId="875" w16cid:durableId="1773476040">
    <w:abstractNumId w:val="906"/>
  </w:num>
  <w:num w:numId="876" w16cid:durableId="1446071940">
    <w:abstractNumId w:val="40"/>
  </w:num>
  <w:num w:numId="877" w16cid:durableId="1813398498">
    <w:abstractNumId w:val="695"/>
  </w:num>
  <w:num w:numId="878" w16cid:durableId="1775592843">
    <w:abstractNumId w:val="274"/>
  </w:num>
  <w:num w:numId="879" w16cid:durableId="1385835753">
    <w:abstractNumId w:val="717"/>
  </w:num>
  <w:num w:numId="880" w16cid:durableId="751271750">
    <w:abstractNumId w:val="1428"/>
  </w:num>
  <w:num w:numId="881" w16cid:durableId="1721125947">
    <w:abstractNumId w:val="1176"/>
  </w:num>
  <w:num w:numId="882" w16cid:durableId="676856392">
    <w:abstractNumId w:val="1372"/>
  </w:num>
  <w:num w:numId="883" w16cid:durableId="1020665270">
    <w:abstractNumId w:val="724"/>
  </w:num>
  <w:num w:numId="884" w16cid:durableId="2040087966">
    <w:abstractNumId w:val="1124"/>
  </w:num>
  <w:num w:numId="885" w16cid:durableId="120736781">
    <w:abstractNumId w:val="1201"/>
  </w:num>
  <w:num w:numId="886" w16cid:durableId="1144471740">
    <w:abstractNumId w:val="1145"/>
  </w:num>
  <w:num w:numId="887" w16cid:durableId="1932279882">
    <w:abstractNumId w:val="169"/>
  </w:num>
  <w:num w:numId="888" w16cid:durableId="121777076">
    <w:abstractNumId w:val="679"/>
  </w:num>
  <w:num w:numId="889" w16cid:durableId="1274437838">
    <w:abstractNumId w:val="927"/>
  </w:num>
  <w:num w:numId="890" w16cid:durableId="118768485">
    <w:abstractNumId w:val="683"/>
  </w:num>
  <w:num w:numId="891" w16cid:durableId="1293824296">
    <w:abstractNumId w:val="969"/>
  </w:num>
  <w:num w:numId="892" w16cid:durableId="17170884">
    <w:abstractNumId w:val="1208"/>
  </w:num>
  <w:num w:numId="893" w16cid:durableId="1786734600">
    <w:abstractNumId w:val="865"/>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09"/>
  </w:num>
  <w:num w:numId="902" w16cid:durableId="1820221110">
    <w:abstractNumId w:val="1336"/>
  </w:num>
  <w:num w:numId="903" w16cid:durableId="886113776">
    <w:abstractNumId w:val="795"/>
  </w:num>
  <w:num w:numId="904" w16cid:durableId="160238003">
    <w:abstractNumId w:val="1281"/>
  </w:num>
  <w:num w:numId="905" w16cid:durableId="967465938">
    <w:abstractNumId w:val="1174"/>
  </w:num>
  <w:num w:numId="906" w16cid:durableId="1235315934">
    <w:abstractNumId w:val="672"/>
  </w:num>
  <w:num w:numId="907" w16cid:durableId="1467042236">
    <w:abstractNumId w:val="1287"/>
  </w:num>
  <w:num w:numId="908" w16cid:durableId="2144880918">
    <w:abstractNumId w:val="1097"/>
  </w:num>
  <w:num w:numId="909" w16cid:durableId="106971376">
    <w:abstractNumId w:val="248"/>
  </w:num>
  <w:num w:numId="910" w16cid:durableId="25760326">
    <w:abstractNumId w:val="1112"/>
  </w:num>
  <w:num w:numId="911" w16cid:durableId="1016924500">
    <w:abstractNumId w:val="1358"/>
  </w:num>
  <w:num w:numId="912" w16cid:durableId="178588749">
    <w:abstractNumId w:val="220"/>
  </w:num>
  <w:num w:numId="913" w16cid:durableId="283050004">
    <w:abstractNumId w:val="17"/>
  </w:num>
  <w:num w:numId="914" w16cid:durableId="753286514">
    <w:abstractNumId w:val="1438"/>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1"/>
  </w:num>
  <w:num w:numId="920" w16cid:durableId="769812038">
    <w:abstractNumId w:val="688"/>
  </w:num>
  <w:num w:numId="921" w16cid:durableId="1361083794">
    <w:abstractNumId w:val="99"/>
  </w:num>
  <w:num w:numId="922" w16cid:durableId="618075389">
    <w:abstractNumId w:val="1303"/>
  </w:num>
  <w:num w:numId="923" w16cid:durableId="1663116280">
    <w:abstractNumId w:val="798"/>
  </w:num>
  <w:num w:numId="924" w16cid:durableId="487869781">
    <w:abstractNumId w:val="772"/>
  </w:num>
  <w:num w:numId="925" w16cid:durableId="1828132371">
    <w:abstractNumId w:val="1001"/>
  </w:num>
  <w:num w:numId="926" w16cid:durableId="473373500">
    <w:abstractNumId w:val="370"/>
  </w:num>
  <w:num w:numId="927" w16cid:durableId="1948539125">
    <w:abstractNumId w:val="645"/>
  </w:num>
  <w:num w:numId="928" w16cid:durableId="78791910">
    <w:abstractNumId w:val="1326"/>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5"/>
  </w:num>
  <w:num w:numId="934" w16cid:durableId="1092244618">
    <w:abstractNumId w:val="599"/>
  </w:num>
  <w:num w:numId="935" w16cid:durableId="2013948342">
    <w:abstractNumId w:val="13"/>
  </w:num>
  <w:num w:numId="936" w16cid:durableId="1144352595">
    <w:abstractNumId w:val="1259"/>
  </w:num>
  <w:num w:numId="937" w16cid:durableId="230846912">
    <w:abstractNumId w:val="874"/>
  </w:num>
  <w:num w:numId="938" w16cid:durableId="718633865">
    <w:abstractNumId w:val="1244"/>
  </w:num>
  <w:num w:numId="939" w16cid:durableId="21784167">
    <w:abstractNumId w:val="539"/>
  </w:num>
  <w:num w:numId="940" w16cid:durableId="1059207268">
    <w:abstractNumId w:val="394"/>
  </w:num>
  <w:num w:numId="941" w16cid:durableId="591084907">
    <w:abstractNumId w:val="956"/>
  </w:num>
  <w:num w:numId="942" w16cid:durableId="2001040192">
    <w:abstractNumId w:val="804"/>
  </w:num>
  <w:num w:numId="943" w16cid:durableId="493960449">
    <w:abstractNumId w:val="281"/>
  </w:num>
  <w:num w:numId="944" w16cid:durableId="486822892">
    <w:abstractNumId w:val="883"/>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4"/>
  </w:num>
  <w:num w:numId="950" w16cid:durableId="1004740898">
    <w:abstractNumId w:val="699"/>
  </w:num>
  <w:num w:numId="951" w16cid:durableId="1358580296">
    <w:abstractNumId w:val="1102"/>
  </w:num>
  <w:num w:numId="952" w16cid:durableId="2060012092">
    <w:abstractNumId w:val="846"/>
  </w:num>
  <w:num w:numId="953" w16cid:durableId="652874406">
    <w:abstractNumId w:val="727"/>
  </w:num>
  <w:num w:numId="954" w16cid:durableId="445933219">
    <w:abstractNumId w:val="18"/>
  </w:num>
  <w:num w:numId="955" w16cid:durableId="1054889647">
    <w:abstractNumId w:val="1282"/>
  </w:num>
  <w:num w:numId="956" w16cid:durableId="978000589">
    <w:abstractNumId w:val="632"/>
  </w:num>
  <w:num w:numId="957" w16cid:durableId="1937403130">
    <w:abstractNumId w:val="1060"/>
  </w:num>
  <w:num w:numId="958" w16cid:durableId="1954631558">
    <w:abstractNumId w:val="735"/>
  </w:num>
  <w:num w:numId="959" w16cid:durableId="369691126">
    <w:abstractNumId w:val="1393"/>
  </w:num>
  <w:num w:numId="960" w16cid:durableId="1562406034">
    <w:abstractNumId w:val="859"/>
  </w:num>
  <w:num w:numId="961" w16cid:durableId="1725592724">
    <w:abstractNumId w:val="25"/>
  </w:num>
  <w:num w:numId="962" w16cid:durableId="494495491">
    <w:abstractNumId w:val="182"/>
  </w:num>
  <w:num w:numId="963" w16cid:durableId="693113016">
    <w:abstractNumId w:val="685"/>
  </w:num>
  <w:num w:numId="964" w16cid:durableId="210195947">
    <w:abstractNumId w:val="809"/>
  </w:num>
  <w:num w:numId="965" w16cid:durableId="1375934156">
    <w:abstractNumId w:val="1343"/>
  </w:num>
  <w:num w:numId="966" w16cid:durableId="1142113730">
    <w:abstractNumId w:val="98"/>
  </w:num>
  <w:num w:numId="967" w16cid:durableId="1530871908">
    <w:abstractNumId w:val="386"/>
  </w:num>
  <w:num w:numId="968" w16cid:durableId="2132092459">
    <w:abstractNumId w:val="1289"/>
  </w:num>
  <w:num w:numId="969" w16cid:durableId="4478349">
    <w:abstractNumId w:val="757"/>
  </w:num>
  <w:num w:numId="970" w16cid:durableId="1258907739">
    <w:abstractNumId w:val="401"/>
  </w:num>
  <w:num w:numId="971" w16cid:durableId="744642316">
    <w:abstractNumId w:val="588"/>
  </w:num>
  <w:num w:numId="972" w16cid:durableId="731004156">
    <w:abstractNumId w:val="920"/>
  </w:num>
  <w:num w:numId="973" w16cid:durableId="1052656906">
    <w:abstractNumId w:val="424"/>
  </w:num>
  <w:num w:numId="974" w16cid:durableId="1197500016">
    <w:abstractNumId w:val="630"/>
  </w:num>
  <w:num w:numId="975" w16cid:durableId="696583360">
    <w:abstractNumId w:val="931"/>
  </w:num>
  <w:num w:numId="976" w16cid:durableId="1997145449">
    <w:abstractNumId w:val="764"/>
  </w:num>
  <w:num w:numId="977" w16cid:durableId="910308798">
    <w:abstractNumId w:val="779"/>
  </w:num>
  <w:num w:numId="978" w16cid:durableId="2017878437">
    <w:abstractNumId w:val="498"/>
  </w:num>
  <w:num w:numId="979" w16cid:durableId="1078668425">
    <w:abstractNumId w:val="749"/>
  </w:num>
  <w:num w:numId="980" w16cid:durableId="1147623420">
    <w:abstractNumId w:val="1391"/>
  </w:num>
  <w:num w:numId="981" w16cid:durableId="480733420">
    <w:abstractNumId w:val="626"/>
  </w:num>
  <w:num w:numId="982" w16cid:durableId="1927954998">
    <w:abstractNumId w:val="466"/>
  </w:num>
  <w:num w:numId="983" w16cid:durableId="1186017680">
    <w:abstractNumId w:val="710"/>
  </w:num>
  <w:num w:numId="984" w16cid:durableId="577906565">
    <w:abstractNumId w:val="1035"/>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1"/>
  </w:num>
  <w:num w:numId="990" w16cid:durableId="2068649141">
    <w:abstractNumId w:val="557"/>
  </w:num>
  <w:num w:numId="991" w16cid:durableId="622227551">
    <w:abstractNumId w:val="913"/>
  </w:num>
  <w:num w:numId="992" w16cid:durableId="1262177312">
    <w:abstractNumId w:val="469"/>
  </w:num>
  <w:num w:numId="993" w16cid:durableId="526060549">
    <w:abstractNumId w:val="978"/>
  </w:num>
  <w:num w:numId="994" w16cid:durableId="1396247389">
    <w:abstractNumId w:val="551"/>
  </w:num>
  <w:num w:numId="995" w16cid:durableId="436028545">
    <w:abstractNumId w:val="460"/>
  </w:num>
  <w:num w:numId="996" w16cid:durableId="1299534683">
    <w:abstractNumId w:val="1266"/>
  </w:num>
  <w:num w:numId="997" w16cid:durableId="393238053">
    <w:abstractNumId w:val="946"/>
  </w:num>
  <w:num w:numId="998" w16cid:durableId="2143570974">
    <w:abstractNumId w:val="26"/>
  </w:num>
  <w:num w:numId="999" w16cid:durableId="1696691865">
    <w:abstractNumId w:val="275"/>
  </w:num>
  <w:num w:numId="1000" w16cid:durableId="698508569">
    <w:abstractNumId w:val="15"/>
  </w:num>
  <w:num w:numId="1001" w16cid:durableId="819343085">
    <w:abstractNumId w:val="822"/>
  </w:num>
  <w:num w:numId="1002" w16cid:durableId="1824395897">
    <w:abstractNumId w:val="1395"/>
  </w:num>
  <w:num w:numId="1003" w16cid:durableId="1505824276">
    <w:abstractNumId w:val="529"/>
  </w:num>
  <w:num w:numId="1004" w16cid:durableId="1335457678">
    <w:abstractNumId w:val="41"/>
  </w:num>
  <w:num w:numId="1005" w16cid:durableId="1395815030">
    <w:abstractNumId w:val="1141"/>
  </w:num>
  <w:num w:numId="1006" w16cid:durableId="1663005000">
    <w:abstractNumId w:val="1185"/>
  </w:num>
  <w:num w:numId="1007" w16cid:durableId="542715592">
    <w:abstractNumId w:val="34"/>
  </w:num>
  <w:num w:numId="1008" w16cid:durableId="1531994081">
    <w:abstractNumId w:val="1123"/>
  </w:num>
  <w:num w:numId="1009" w16cid:durableId="14505605">
    <w:abstractNumId w:val="187"/>
  </w:num>
  <w:num w:numId="1010" w16cid:durableId="95255388">
    <w:abstractNumId w:val="1294"/>
  </w:num>
  <w:num w:numId="1011" w16cid:durableId="1215313628">
    <w:abstractNumId w:val="1068"/>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4"/>
  </w:num>
  <w:num w:numId="1017" w16cid:durableId="1371684028">
    <w:abstractNumId w:val="24"/>
  </w:num>
  <w:num w:numId="1018" w16cid:durableId="1135028625">
    <w:abstractNumId w:val="212"/>
  </w:num>
  <w:num w:numId="1019" w16cid:durableId="1794203865">
    <w:abstractNumId w:val="261"/>
  </w:num>
  <w:num w:numId="1020" w16cid:durableId="758604067">
    <w:abstractNumId w:val="1019"/>
  </w:num>
  <w:num w:numId="1021" w16cid:durableId="1229998748">
    <w:abstractNumId w:val="1376"/>
  </w:num>
  <w:num w:numId="1022" w16cid:durableId="27610369">
    <w:abstractNumId w:val="1378"/>
  </w:num>
  <w:num w:numId="1023" w16cid:durableId="26608979">
    <w:abstractNumId w:val="1163"/>
  </w:num>
  <w:num w:numId="1024" w16cid:durableId="2015985420">
    <w:abstractNumId w:val="1128"/>
  </w:num>
  <w:num w:numId="1025" w16cid:durableId="1349065795">
    <w:abstractNumId w:val="1226"/>
  </w:num>
  <w:num w:numId="1026" w16cid:durableId="2098819860">
    <w:abstractNumId w:val="1374"/>
  </w:num>
  <w:num w:numId="1027" w16cid:durableId="237597160">
    <w:abstractNumId w:val="230"/>
  </w:num>
  <w:num w:numId="1028" w16cid:durableId="589580608">
    <w:abstractNumId w:val="813"/>
  </w:num>
  <w:num w:numId="1029" w16cid:durableId="1560246314">
    <w:abstractNumId w:val="1367"/>
  </w:num>
  <w:num w:numId="1030" w16cid:durableId="777406840">
    <w:abstractNumId w:val="726"/>
  </w:num>
  <w:num w:numId="1031" w16cid:durableId="1379284897">
    <w:abstractNumId w:val="499"/>
  </w:num>
  <w:num w:numId="1032" w16cid:durableId="1659263588">
    <w:abstractNumId w:val="1306"/>
  </w:num>
  <w:num w:numId="1033" w16cid:durableId="65105211">
    <w:abstractNumId w:val="615"/>
  </w:num>
  <w:num w:numId="1034" w16cid:durableId="885802738">
    <w:abstractNumId w:val="1018"/>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2"/>
  </w:num>
  <w:num w:numId="1040" w16cid:durableId="505873741">
    <w:abstractNumId w:val="184"/>
  </w:num>
  <w:num w:numId="1041" w16cid:durableId="78215513">
    <w:abstractNumId w:val="432"/>
  </w:num>
  <w:num w:numId="1042" w16cid:durableId="473065710">
    <w:abstractNumId w:val="1436"/>
  </w:num>
  <w:num w:numId="1043" w16cid:durableId="1236668795">
    <w:abstractNumId w:val="118"/>
  </w:num>
  <w:num w:numId="1044" w16cid:durableId="1545941722">
    <w:abstractNumId w:val="1223"/>
  </w:num>
  <w:num w:numId="1045" w16cid:durableId="169954776">
    <w:abstractNumId w:val="411"/>
  </w:num>
  <w:num w:numId="1046" w16cid:durableId="357439112">
    <w:abstractNumId w:val="995"/>
  </w:num>
  <w:num w:numId="1047" w16cid:durableId="295336701">
    <w:abstractNumId w:val="678"/>
  </w:num>
  <w:num w:numId="1048" w16cid:durableId="161707264">
    <w:abstractNumId w:val="47"/>
  </w:num>
  <w:num w:numId="1049" w16cid:durableId="1669402649">
    <w:abstractNumId w:val="1120"/>
  </w:num>
  <w:num w:numId="1050" w16cid:durableId="1337028937">
    <w:abstractNumId w:val="316"/>
  </w:num>
  <w:num w:numId="1051" w16cid:durableId="1371763809">
    <w:abstractNumId w:val="1121"/>
  </w:num>
  <w:num w:numId="1052" w16cid:durableId="2096898102">
    <w:abstractNumId w:val="504"/>
  </w:num>
  <w:num w:numId="1053" w16cid:durableId="1279097333">
    <w:abstractNumId w:val="1156"/>
  </w:num>
  <w:num w:numId="1054" w16cid:durableId="1950090643">
    <w:abstractNumId w:val="867"/>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69"/>
  </w:num>
  <w:num w:numId="1061" w16cid:durableId="1983272133">
    <w:abstractNumId w:val="625"/>
  </w:num>
  <w:num w:numId="1062" w16cid:durableId="1246308529">
    <w:abstractNumId w:val="219"/>
  </w:num>
  <w:num w:numId="1063" w16cid:durableId="1131434678">
    <w:abstractNumId w:val="715"/>
  </w:num>
  <w:num w:numId="1064" w16cid:durableId="1745835248">
    <w:abstractNumId w:val="905"/>
  </w:num>
  <w:num w:numId="1065" w16cid:durableId="1356737304">
    <w:abstractNumId w:val="1424"/>
  </w:num>
  <w:num w:numId="1066" w16cid:durableId="30762934">
    <w:abstractNumId w:val="856"/>
  </w:num>
  <w:num w:numId="1067" w16cid:durableId="2004158649">
    <w:abstractNumId w:val="1361"/>
  </w:num>
  <w:num w:numId="1068" w16cid:durableId="1381245427">
    <w:abstractNumId w:val="1247"/>
  </w:num>
  <w:num w:numId="1069" w16cid:durableId="690570742">
    <w:abstractNumId w:val="902"/>
  </w:num>
  <w:num w:numId="1070" w16cid:durableId="645816469">
    <w:abstractNumId w:val="117"/>
  </w:num>
  <w:num w:numId="1071" w16cid:durableId="178929939">
    <w:abstractNumId w:val="926"/>
  </w:num>
  <w:num w:numId="1072" w16cid:durableId="892082225">
    <w:abstractNumId w:val="737"/>
  </w:num>
  <w:num w:numId="1073" w16cid:durableId="1077678328">
    <w:abstractNumId w:val="477"/>
  </w:num>
  <w:num w:numId="1074" w16cid:durableId="830609040">
    <w:abstractNumId w:val="1149"/>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4"/>
  </w:num>
  <w:num w:numId="1081" w16cid:durableId="1514690227">
    <w:abstractNumId w:val="1342"/>
  </w:num>
  <w:num w:numId="1082" w16cid:durableId="1818959574">
    <w:abstractNumId w:val="1151"/>
  </w:num>
  <w:num w:numId="1083" w16cid:durableId="822628246">
    <w:abstractNumId w:val="937"/>
  </w:num>
  <w:num w:numId="1084" w16cid:durableId="1741707217">
    <w:abstractNumId w:val="351"/>
  </w:num>
  <w:num w:numId="1085" w16cid:durableId="1132282767">
    <w:abstractNumId w:val="1111"/>
  </w:num>
  <w:num w:numId="1086" w16cid:durableId="158156211">
    <w:abstractNumId w:val="845"/>
  </w:num>
  <w:num w:numId="1087" w16cid:durableId="924269646">
    <w:abstractNumId w:val="1063"/>
  </w:num>
  <w:num w:numId="1088" w16cid:durableId="862788164">
    <w:abstractNumId w:val="592"/>
  </w:num>
  <w:num w:numId="1089" w16cid:durableId="1750931428">
    <w:abstractNumId w:val="397"/>
  </w:num>
  <w:num w:numId="1090" w16cid:durableId="776289003">
    <w:abstractNumId w:val="1301"/>
  </w:num>
  <w:num w:numId="1091" w16cid:durableId="55397047">
    <w:abstractNumId w:val="106"/>
  </w:num>
  <w:num w:numId="1092" w16cid:durableId="561868876">
    <w:abstractNumId w:val="7"/>
  </w:num>
  <w:num w:numId="1093" w16cid:durableId="1923374084">
    <w:abstractNumId w:val="126"/>
  </w:num>
  <w:num w:numId="1094" w16cid:durableId="1324047703">
    <w:abstractNumId w:val="1271"/>
  </w:num>
  <w:num w:numId="1095" w16cid:durableId="628978748">
    <w:abstractNumId w:val="227"/>
  </w:num>
  <w:num w:numId="1096" w16cid:durableId="1791390147">
    <w:abstractNumId w:val="120"/>
  </w:num>
  <w:num w:numId="1097" w16cid:durableId="283388788">
    <w:abstractNumId w:val="418"/>
  </w:num>
  <w:num w:numId="1098" w16cid:durableId="866799851">
    <w:abstractNumId w:val="1206"/>
  </w:num>
  <w:num w:numId="1099" w16cid:durableId="45958527">
    <w:abstractNumId w:val="1260"/>
  </w:num>
  <w:num w:numId="1100" w16cid:durableId="1511678015">
    <w:abstractNumId w:val="987"/>
  </w:num>
  <w:num w:numId="1101" w16cid:durableId="151725452">
    <w:abstractNumId w:val="702"/>
  </w:num>
  <w:num w:numId="1102" w16cid:durableId="311911438">
    <w:abstractNumId w:val="102"/>
  </w:num>
  <w:num w:numId="1103" w16cid:durableId="1282226700">
    <w:abstractNumId w:val="611"/>
  </w:num>
  <w:num w:numId="1104" w16cid:durableId="352921505">
    <w:abstractNumId w:val="808"/>
  </w:num>
  <w:num w:numId="1105" w16cid:durableId="409548213">
    <w:abstractNumId w:val="1349"/>
  </w:num>
  <w:num w:numId="1106" w16cid:durableId="314385050">
    <w:abstractNumId w:val="758"/>
  </w:num>
  <w:num w:numId="1107" w16cid:durableId="546456164">
    <w:abstractNumId w:val="517"/>
  </w:num>
  <w:num w:numId="1108" w16cid:durableId="1261914122">
    <w:abstractNumId w:val="1389"/>
  </w:num>
  <w:num w:numId="1109" w16cid:durableId="1837070530">
    <w:abstractNumId w:val="1081"/>
  </w:num>
  <w:num w:numId="1110" w16cid:durableId="2118215590">
    <w:abstractNumId w:val="1290"/>
  </w:num>
  <w:num w:numId="1111" w16cid:durableId="487064403">
    <w:abstractNumId w:val="186"/>
  </w:num>
  <w:num w:numId="1112" w16cid:durableId="1127430410">
    <w:abstractNumId w:val="267"/>
  </w:num>
  <w:num w:numId="1113" w16cid:durableId="45296144">
    <w:abstractNumId w:val="30"/>
  </w:num>
  <w:num w:numId="1114" w16cid:durableId="1861621653">
    <w:abstractNumId w:val="802"/>
  </w:num>
  <w:num w:numId="1115" w16cid:durableId="1865241627">
    <w:abstractNumId w:val="1152"/>
  </w:num>
  <w:num w:numId="1116" w16cid:durableId="1635870691">
    <w:abstractNumId w:val="713"/>
  </w:num>
  <w:num w:numId="1117" w16cid:durableId="827094899">
    <w:abstractNumId w:val="1040"/>
  </w:num>
  <w:num w:numId="1118" w16cid:durableId="1400254295">
    <w:abstractNumId w:val="358"/>
  </w:num>
  <w:num w:numId="1119" w16cid:durableId="1661809900">
    <w:abstractNumId w:val="824"/>
  </w:num>
  <w:num w:numId="1120" w16cid:durableId="46101975">
    <w:abstractNumId w:val="1070"/>
  </w:num>
  <w:num w:numId="1121" w16cid:durableId="359861415">
    <w:abstractNumId w:val="821"/>
  </w:num>
  <w:num w:numId="1122" w16cid:durableId="527642488">
    <w:abstractNumId w:val="342"/>
  </w:num>
  <w:num w:numId="1123" w16cid:durableId="1370914785">
    <w:abstractNumId w:val="1304"/>
  </w:num>
  <w:num w:numId="1124" w16cid:durableId="1094672541">
    <w:abstractNumId w:val="1249"/>
  </w:num>
  <w:num w:numId="1125" w16cid:durableId="634406588">
    <w:abstractNumId w:val="462"/>
  </w:num>
  <w:num w:numId="1126" w16cid:durableId="1283921958">
    <w:abstractNumId w:val="39"/>
  </w:num>
  <w:num w:numId="1127" w16cid:durableId="222722867">
    <w:abstractNumId w:val="1082"/>
  </w:num>
  <w:num w:numId="1128" w16cid:durableId="570624866">
    <w:abstractNumId w:val="1004"/>
  </w:num>
  <w:num w:numId="1129" w16cid:durableId="1920559254">
    <w:abstractNumId w:val="1030"/>
  </w:num>
  <w:num w:numId="1130" w16cid:durableId="224413760">
    <w:abstractNumId w:val="1224"/>
  </w:num>
  <w:num w:numId="1131" w16cid:durableId="346174038">
    <w:abstractNumId w:val="1193"/>
  </w:num>
  <w:num w:numId="1132" w16cid:durableId="1329402994">
    <w:abstractNumId w:val="94"/>
  </w:num>
  <w:num w:numId="1133" w16cid:durableId="385186004">
    <w:abstractNumId w:val="816"/>
  </w:num>
  <w:num w:numId="1134" w16cid:durableId="503857414">
    <w:abstractNumId w:val="1240"/>
  </w:num>
  <w:num w:numId="1135" w16cid:durableId="878323805">
    <w:abstractNumId w:val="1108"/>
  </w:num>
  <w:num w:numId="1136" w16cid:durableId="907417248">
    <w:abstractNumId w:val="153"/>
  </w:num>
  <w:num w:numId="1137" w16cid:durableId="846214182">
    <w:abstractNumId w:val="820"/>
  </w:num>
  <w:num w:numId="1138" w16cid:durableId="1379040302">
    <w:abstractNumId w:val="1269"/>
  </w:num>
  <w:num w:numId="1139" w16cid:durableId="837385054">
    <w:abstractNumId w:val="1412"/>
  </w:num>
  <w:num w:numId="1140" w16cid:durableId="327712728">
    <w:abstractNumId w:val="337"/>
  </w:num>
  <w:num w:numId="1141" w16cid:durableId="1222905061">
    <w:abstractNumId w:val="1426"/>
  </w:num>
  <w:num w:numId="1142" w16cid:durableId="1380743397">
    <w:abstractNumId w:val="829"/>
  </w:num>
  <w:num w:numId="1143" w16cid:durableId="1265381974">
    <w:abstractNumId w:val="520"/>
  </w:num>
  <w:num w:numId="1144" w16cid:durableId="1032655415">
    <w:abstractNumId w:val="817"/>
  </w:num>
  <w:num w:numId="1145" w16cid:durableId="1886286955">
    <w:abstractNumId w:val="1042"/>
  </w:num>
  <w:num w:numId="1146" w16cid:durableId="205266405">
    <w:abstractNumId w:val="1359"/>
  </w:num>
  <w:num w:numId="1147" w16cid:durableId="180123697">
    <w:abstractNumId w:val="708"/>
  </w:num>
  <w:num w:numId="1148" w16cid:durableId="1239828307">
    <w:abstractNumId w:val="974"/>
  </w:num>
  <w:num w:numId="1149" w16cid:durableId="1945919404">
    <w:abstractNumId w:val="559"/>
  </w:num>
  <w:num w:numId="1150" w16cid:durableId="592477145">
    <w:abstractNumId w:val="345"/>
  </w:num>
  <w:num w:numId="1151" w16cid:durableId="63652991">
    <w:abstractNumId w:val="486"/>
  </w:num>
  <w:num w:numId="1152" w16cid:durableId="129636492">
    <w:abstractNumId w:val="1291"/>
  </w:num>
  <w:num w:numId="1153" w16cid:durableId="1737316269">
    <w:abstractNumId w:val="716"/>
  </w:num>
  <w:num w:numId="1154" w16cid:durableId="1149788672">
    <w:abstractNumId w:val="475"/>
  </w:num>
  <w:num w:numId="1155" w16cid:durableId="1655259763">
    <w:abstractNumId w:val="1439"/>
  </w:num>
  <w:num w:numId="1156" w16cid:durableId="1778720029">
    <w:abstractNumId w:val="445"/>
  </w:num>
  <w:num w:numId="1157" w16cid:durableId="524175746">
    <w:abstractNumId w:val="360"/>
  </w:num>
  <w:num w:numId="1158" w16cid:durableId="1085494998">
    <w:abstractNumId w:val="635"/>
  </w:num>
  <w:num w:numId="1159" w16cid:durableId="525143309">
    <w:abstractNumId w:val="1237"/>
  </w:num>
  <w:num w:numId="1160" w16cid:durableId="1504516213">
    <w:abstractNumId w:val="10"/>
  </w:num>
  <w:num w:numId="1161" w16cid:durableId="10769107">
    <w:abstractNumId w:val="774"/>
  </w:num>
  <w:num w:numId="1162" w16cid:durableId="872815011">
    <w:abstractNumId w:val="500"/>
  </w:num>
  <w:num w:numId="1163" w16cid:durableId="724449286">
    <w:abstractNumId w:val="746"/>
  </w:num>
  <w:num w:numId="1164" w16cid:durableId="141703460">
    <w:abstractNumId w:val="1212"/>
  </w:num>
  <w:num w:numId="1165" w16cid:durableId="1237128112">
    <w:abstractNumId w:val="1308"/>
  </w:num>
  <w:num w:numId="1166" w16cid:durableId="157967258">
    <w:abstractNumId w:val="97"/>
  </w:num>
  <w:num w:numId="1167" w16cid:durableId="1702779735">
    <w:abstractNumId w:val="1148"/>
  </w:num>
  <w:num w:numId="1168" w16cid:durableId="1678194092">
    <w:abstractNumId w:val="318"/>
  </w:num>
  <w:num w:numId="1169" w16cid:durableId="901061019">
    <w:abstractNumId w:val="805"/>
  </w:num>
  <w:num w:numId="1170" w16cid:durableId="2001303545">
    <w:abstractNumId w:val="1362"/>
  </w:num>
  <w:num w:numId="1171" w16cid:durableId="1335718129">
    <w:abstractNumId w:val="1399"/>
  </w:num>
  <w:num w:numId="1172" w16cid:durableId="386877123">
    <w:abstractNumId w:val="1118"/>
  </w:num>
  <w:num w:numId="1173" w16cid:durableId="1877280502">
    <w:abstractNumId w:val="1178"/>
  </w:num>
  <w:num w:numId="1174" w16cid:durableId="943342167">
    <w:abstractNumId w:val="122"/>
  </w:num>
  <w:num w:numId="1175" w16cid:durableId="1280524159">
    <w:abstractNumId w:val="331"/>
  </w:num>
  <w:num w:numId="1176" w16cid:durableId="1010260099">
    <w:abstractNumId w:val="616"/>
  </w:num>
  <w:num w:numId="1177" w16cid:durableId="1723212461">
    <w:abstractNumId w:val="1380"/>
  </w:num>
  <w:num w:numId="1178" w16cid:durableId="1956134100">
    <w:abstractNumId w:val="433"/>
  </w:num>
  <w:num w:numId="1179" w16cid:durableId="1572420369">
    <w:abstractNumId w:val="990"/>
  </w:num>
  <w:num w:numId="1180" w16cid:durableId="964431507">
    <w:abstractNumId w:val="560"/>
  </w:num>
  <w:num w:numId="1181" w16cid:durableId="1052071773">
    <w:abstractNumId w:val="1056"/>
  </w:num>
  <w:num w:numId="1182" w16cid:durableId="1458066254">
    <w:abstractNumId w:val="124"/>
  </w:num>
  <w:num w:numId="1183" w16cid:durableId="403181127">
    <w:abstractNumId w:val="608"/>
  </w:num>
  <w:num w:numId="1184" w16cid:durableId="1630428144">
    <w:abstractNumId w:val="531"/>
  </w:num>
  <w:num w:numId="1185" w16cid:durableId="1051227205">
    <w:abstractNumId w:val="1350"/>
  </w:num>
  <w:num w:numId="1186" w16cid:durableId="1287396090">
    <w:abstractNumId w:val="110"/>
  </w:num>
  <w:num w:numId="1187" w16cid:durableId="704453082">
    <w:abstractNumId w:val="1078"/>
  </w:num>
  <w:num w:numId="1188" w16cid:durableId="72548758">
    <w:abstractNumId w:val="728"/>
  </w:num>
  <w:num w:numId="1189" w16cid:durableId="137113462">
    <w:abstractNumId w:val="246"/>
  </w:num>
  <w:num w:numId="1190" w16cid:durableId="204759208">
    <w:abstractNumId w:val="643"/>
  </w:num>
  <w:num w:numId="1191" w16cid:durableId="1634628706">
    <w:abstractNumId w:val="1220"/>
  </w:num>
  <w:num w:numId="1192" w16cid:durableId="678431486">
    <w:abstractNumId w:val="904"/>
  </w:num>
  <w:num w:numId="1193" w16cid:durableId="1817409608">
    <w:abstractNumId w:val="998"/>
  </w:num>
  <w:num w:numId="1194" w16cid:durableId="777481660">
    <w:abstractNumId w:val="179"/>
  </w:num>
  <w:num w:numId="1195" w16cid:durableId="232006857">
    <w:abstractNumId w:val="420"/>
  </w:num>
  <w:num w:numId="1196" w16cid:durableId="1597901144">
    <w:abstractNumId w:val="134"/>
  </w:num>
  <w:num w:numId="1197" w16cid:durableId="454176619">
    <w:abstractNumId w:val="773"/>
  </w:num>
  <w:num w:numId="1198" w16cid:durableId="1757943811">
    <w:abstractNumId w:val="1138"/>
  </w:num>
  <w:num w:numId="1199" w16cid:durableId="1447311517">
    <w:abstractNumId w:val="935"/>
  </w:num>
  <w:num w:numId="1200" w16cid:durableId="354618288">
    <w:abstractNumId w:val="666"/>
  </w:num>
  <w:num w:numId="1201" w16cid:durableId="9335591">
    <w:abstractNumId w:val="1050"/>
  </w:num>
  <w:num w:numId="1202" w16cid:durableId="2084637530">
    <w:abstractNumId w:val="1103"/>
  </w:num>
  <w:num w:numId="1203" w16cid:durableId="1003778818">
    <w:abstractNumId w:val="192"/>
  </w:num>
  <w:num w:numId="1204" w16cid:durableId="1989557102">
    <w:abstractNumId w:val="928"/>
  </w:num>
  <w:num w:numId="1205" w16cid:durableId="684552410">
    <w:abstractNumId w:val="1264"/>
  </w:num>
  <w:num w:numId="1206" w16cid:durableId="762343265">
    <w:abstractNumId w:val="306"/>
  </w:num>
  <w:num w:numId="1207" w16cid:durableId="495419207">
    <w:abstractNumId w:val="981"/>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4"/>
  </w:num>
  <w:num w:numId="1213" w16cid:durableId="383410594">
    <w:abstractNumId w:val="723"/>
  </w:num>
  <w:num w:numId="1214" w16cid:durableId="1599945447">
    <w:abstractNumId w:val="1132"/>
  </w:num>
  <w:num w:numId="1215" w16cid:durableId="703753618">
    <w:abstractNumId w:val="313"/>
  </w:num>
  <w:num w:numId="1216" w16cid:durableId="1222256171">
    <w:abstractNumId w:val="1403"/>
  </w:num>
  <w:num w:numId="1217" w16cid:durableId="1719355139">
    <w:abstractNumId w:val="1012"/>
  </w:num>
  <w:num w:numId="1218" w16cid:durableId="2092001407">
    <w:abstractNumId w:val="208"/>
  </w:num>
  <w:num w:numId="1219" w16cid:durableId="644120186">
    <w:abstractNumId w:val="921"/>
  </w:num>
  <w:num w:numId="1220" w16cid:durableId="1851524405">
    <w:abstractNumId w:val="72"/>
  </w:num>
  <w:num w:numId="1221" w16cid:durableId="1653607429">
    <w:abstractNumId w:val="961"/>
  </w:num>
  <w:num w:numId="1222" w16cid:durableId="1354378928">
    <w:abstractNumId w:val="81"/>
  </w:num>
  <w:num w:numId="1223" w16cid:durableId="1401757547">
    <w:abstractNumId w:val="1234"/>
  </w:num>
  <w:num w:numId="1224" w16cid:durableId="255141539">
    <w:abstractNumId w:val="324"/>
  </w:num>
  <w:num w:numId="1225" w16cid:durableId="1373767774">
    <w:abstractNumId w:val="1276"/>
  </w:num>
  <w:num w:numId="1226" w16cid:durableId="467820567">
    <w:abstractNumId w:val="558"/>
  </w:num>
  <w:num w:numId="1227" w16cid:durableId="348993236">
    <w:abstractNumId w:val="245"/>
  </w:num>
  <w:num w:numId="1228" w16cid:durableId="316148299">
    <w:abstractNumId w:val="1307"/>
  </w:num>
  <w:num w:numId="1229" w16cid:durableId="219051882">
    <w:abstractNumId w:val="388"/>
  </w:num>
  <w:num w:numId="1230" w16cid:durableId="1863277370">
    <w:abstractNumId w:val="407"/>
  </w:num>
  <w:num w:numId="1231" w16cid:durableId="1991520414">
    <w:abstractNumId w:val="1177"/>
  </w:num>
  <w:num w:numId="1232" w16cid:durableId="1469936508">
    <w:abstractNumId w:val="991"/>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5"/>
  </w:num>
  <w:num w:numId="1238" w16cid:durableId="1548029345">
    <w:abstractNumId w:val="1348"/>
  </w:num>
  <w:num w:numId="1239" w16cid:durableId="379331061">
    <w:abstractNumId w:val="938"/>
  </w:num>
  <w:num w:numId="1240" w16cid:durableId="1677994935">
    <w:abstractNumId w:val="1106"/>
  </w:num>
  <w:num w:numId="1241" w16cid:durableId="1265966886">
    <w:abstractNumId w:val="101"/>
  </w:num>
  <w:num w:numId="1242" w16cid:durableId="541404751">
    <w:abstractNumId w:val="1245"/>
  </w:num>
  <w:num w:numId="1243" w16cid:durableId="1205600481">
    <w:abstractNumId w:val="1221"/>
  </w:num>
  <w:num w:numId="1244" w16cid:durableId="1540708118">
    <w:abstractNumId w:val="1363"/>
  </w:num>
  <w:num w:numId="1245" w16cid:durableId="1066954703">
    <w:abstractNumId w:val="141"/>
  </w:num>
  <w:num w:numId="1246" w16cid:durableId="713236901">
    <w:abstractNumId w:val="1310"/>
  </w:num>
  <w:num w:numId="1247" w16cid:durableId="1621758932">
    <w:abstractNumId w:val="1180"/>
  </w:num>
  <w:num w:numId="1248" w16cid:durableId="1516530314">
    <w:abstractNumId w:val="1142"/>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5"/>
  </w:num>
  <w:num w:numId="1254" w16cid:durableId="449278369">
    <w:abstractNumId w:val="732"/>
  </w:num>
  <w:num w:numId="1255" w16cid:durableId="119231721">
    <w:abstractNumId w:val="660"/>
  </w:num>
  <w:num w:numId="1256" w16cid:durableId="738285765">
    <w:abstractNumId w:val="1002"/>
  </w:num>
  <w:num w:numId="1257" w16cid:durableId="1436292414">
    <w:abstractNumId w:val="45"/>
  </w:num>
  <w:num w:numId="1258" w16cid:durableId="595595091">
    <w:abstractNumId w:val="564"/>
  </w:num>
  <w:num w:numId="1259" w16cid:durableId="663440377">
    <w:abstractNumId w:val="1437"/>
  </w:num>
  <w:num w:numId="1260" w16cid:durableId="1392533420">
    <w:abstractNumId w:val="399"/>
  </w:num>
  <w:num w:numId="1261" w16cid:durableId="335696462">
    <w:abstractNumId w:val="634"/>
  </w:num>
  <w:num w:numId="1262" w16cid:durableId="1152454300">
    <w:abstractNumId w:val="693"/>
  </w:num>
  <w:num w:numId="1263" w16cid:durableId="528029493">
    <w:abstractNumId w:val="1099"/>
  </w:num>
  <w:num w:numId="1264" w16cid:durableId="190993738">
    <w:abstractNumId w:val="76"/>
  </w:num>
  <w:num w:numId="1265" w16cid:durableId="1232426347">
    <w:abstractNumId w:val="1083"/>
  </w:num>
  <w:num w:numId="1266" w16cid:durableId="1065034567">
    <w:abstractNumId w:val="897"/>
  </w:num>
  <w:num w:numId="1267" w16cid:durableId="401173138">
    <w:abstractNumId w:val="260"/>
  </w:num>
  <w:num w:numId="1268" w16cid:durableId="1022249440">
    <w:abstractNumId w:val="1388"/>
  </w:num>
  <w:num w:numId="1269" w16cid:durableId="1225215916">
    <w:abstractNumId w:val="204"/>
  </w:num>
  <w:num w:numId="1270" w16cid:durableId="953249015">
    <w:abstractNumId w:val="1093"/>
  </w:num>
  <w:num w:numId="1271" w16cid:durableId="2098476390">
    <w:abstractNumId w:val="1187"/>
  </w:num>
  <w:num w:numId="1272" w16cid:durableId="1263296645">
    <w:abstractNumId w:val="720"/>
  </w:num>
  <w:num w:numId="1273" w16cid:durableId="578053643">
    <w:abstractNumId w:val="1377"/>
  </w:num>
  <w:num w:numId="1274" w16cid:durableId="143398779">
    <w:abstractNumId w:val="1075"/>
  </w:num>
  <w:num w:numId="1275" w16cid:durableId="64689594">
    <w:abstractNumId w:val="1339"/>
  </w:num>
  <w:num w:numId="1276" w16cid:durableId="812869824">
    <w:abstractNumId w:val="686"/>
  </w:num>
  <w:num w:numId="1277" w16cid:durableId="1701010009">
    <w:abstractNumId w:val="1252"/>
  </w:num>
  <w:num w:numId="1278" w16cid:durableId="1327899628">
    <w:abstractNumId w:val="690"/>
  </w:num>
  <w:num w:numId="1279" w16cid:durableId="1405688508">
    <w:abstractNumId w:val="491"/>
  </w:num>
  <w:num w:numId="1280" w16cid:durableId="1602834699">
    <w:abstractNumId w:val="1006"/>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2"/>
  </w:num>
  <w:num w:numId="1289" w16cid:durableId="1094471514">
    <w:abstractNumId w:val="916"/>
  </w:num>
  <w:num w:numId="1290" w16cid:durableId="2134249061">
    <w:abstractNumId w:val="170"/>
  </w:num>
  <w:num w:numId="1291" w16cid:durableId="2107966452">
    <w:abstractNumId w:val="714"/>
  </w:num>
  <w:num w:numId="1292" w16cid:durableId="1256280893">
    <w:abstractNumId w:val="976"/>
  </w:num>
  <w:num w:numId="1293" w16cid:durableId="569116113">
    <w:abstractNumId w:val="1402"/>
  </w:num>
  <w:num w:numId="1294" w16cid:durableId="1089429612">
    <w:abstractNumId w:val="1031"/>
  </w:num>
  <w:num w:numId="1295" w16cid:durableId="1462461996">
    <w:abstractNumId w:val="1086"/>
  </w:num>
  <w:num w:numId="1296" w16cid:durableId="1969312669">
    <w:abstractNumId w:val="298"/>
  </w:num>
  <w:num w:numId="1297" w16cid:durableId="1992830780">
    <w:abstractNumId w:val="372"/>
  </w:num>
  <w:num w:numId="1298" w16cid:durableId="1154839170">
    <w:abstractNumId w:val="1017"/>
  </w:num>
  <w:num w:numId="1299" w16cid:durableId="1049573160">
    <w:abstractNumId w:val="152"/>
  </w:num>
  <w:num w:numId="1300" w16cid:durableId="1173572712">
    <w:abstractNumId w:val="936"/>
  </w:num>
  <w:num w:numId="1301" w16cid:durableId="1884902558">
    <w:abstractNumId w:val="209"/>
  </w:num>
  <w:num w:numId="1302" w16cid:durableId="2044087945">
    <w:abstractNumId w:val="425"/>
  </w:num>
  <w:num w:numId="1303" w16cid:durableId="851384193">
    <w:abstractNumId w:val="999"/>
  </w:num>
  <w:num w:numId="1304" w16cid:durableId="1598368320">
    <w:abstractNumId w:val="289"/>
  </w:num>
  <w:num w:numId="1305" w16cid:durableId="325476898">
    <w:abstractNumId w:val="1105"/>
  </w:num>
  <w:num w:numId="1306" w16cid:durableId="70125601">
    <w:abstractNumId w:val="1110"/>
  </w:num>
  <w:num w:numId="1307" w16cid:durableId="18284967">
    <w:abstractNumId w:val="174"/>
  </w:num>
  <w:num w:numId="1308" w16cid:durableId="539317087">
    <w:abstractNumId w:val="1077"/>
  </w:num>
  <w:num w:numId="1309" w16cid:durableId="932398413">
    <w:abstractNumId w:val="322"/>
  </w:num>
  <w:num w:numId="1310" w16cid:durableId="1457026599">
    <w:abstractNumId w:val="603"/>
  </w:num>
  <w:num w:numId="1311" w16cid:durableId="169028570">
    <w:abstractNumId w:val="1248"/>
  </w:num>
  <w:num w:numId="1312" w16cid:durableId="205026678">
    <w:abstractNumId w:val="1435"/>
  </w:num>
  <w:num w:numId="1313" w16cid:durableId="113183029">
    <w:abstractNumId w:val="721"/>
  </w:num>
  <w:num w:numId="1314" w16cid:durableId="1955943041">
    <w:abstractNumId w:val="6"/>
  </w:num>
  <w:num w:numId="1315" w16cid:durableId="1566918218">
    <w:abstractNumId w:val="1098"/>
  </w:num>
  <w:num w:numId="1316" w16cid:durableId="1043091817">
    <w:abstractNumId w:val="363"/>
  </w:num>
  <w:num w:numId="1317" w16cid:durableId="17584001">
    <w:abstractNumId w:val="408"/>
  </w:num>
  <w:num w:numId="1318" w16cid:durableId="1427919065">
    <w:abstractNumId w:val="547"/>
  </w:num>
  <w:num w:numId="1319" w16cid:durableId="1807165357">
    <w:abstractNumId w:val="1340"/>
  </w:num>
  <w:num w:numId="1320" w16cid:durableId="1649742032">
    <w:abstractNumId w:val="911"/>
  </w:num>
  <w:num w:numId="1321" w16cid:durableId="837766547">
    <w:abstractNumId w:val="1425"/>
  </w:num>
  <w:num w:numId="1322" w16cid:durableId="1149327200">
    <w:abstractNumId w:val="606"/>
  </w:num>
  <w:num w:numId="1323" w16cid:durableId="1423837992">
    <w:abstractNumId w:val="194"/>
  </w:num>
  <w:num w:numId="1324" w16cid:durableId="1017001110">
    <w:abstractNumId w:val="67"/>
  </w:num>
  <w:num w:numId="1325" w16cid:durableId="606083504">
    <w:abstractNumId w:val="970"/>
  </w:num>
  <w:num w:numId="1326" w16cid:durableId="1003582098">
    <w:abstractNumId w:val="1194"/>
  </w:num>
  <w:num w:numId="1327" w16cid:durableId="645669354">
    <w:abstractNumId w:val="1251"/>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7"/>
  </w:num>
  <w:num w:numId="1333" w16cid:durableId="1174415103">
    <w:abstractNumId w:val="790"/>
  </w:num>
  <w:num w:numId="1334" w16cid:durableId="1181968107">
    <w:abstractNumId w:val="1162"/>
  </w:num>
  <w:num w:numId="1335" w16cid:durableId="211960376">
    <w:abstractNumId w:val="1049"/>
  </w:num>
  <w:num w:numId="1336" w16cid:durableId="840701773">
    <w:abstractNumId w:val="272"/>
  </w:num>
  <w:num w:numId="1337" w16cid:durableId="688065507">
    <w:abstractNumId w:val="1079"/>
  </w:num>
  <w:num w:numId="1338" w16cid:durableId="1159079414">
    <w:abstractNumId w:val="1160"/>
  </w:num>
  <w:num w:numId="1339" w16cid:durableId="389618853">
    <w:abstractNumId w:val="1197"/>
  </w:num>
  <w:num w:numId="1340" w16cid:durableId="796679082">
    <w:abstractNumId w:val="522"/>
  </w:num>
  <w:num w:numId="1341" w16cid:durableId="1460685994">
    <w:abstractNumId w:val="1382"/>
  </w:num>
  <w:num w:numId="1342" w16cid:durableId="1467316389">
    <w:abstractNumId w:val="957"/>
  </w:num>
  <w:num w:numId="1343" w16cid:durableId="406150383">
    <w:abstractNumId w:val="46"/>
  </w:num>
  <w:num w:numId="1344" w16cid:durableId="416706535">
    <w:abstractNumId w:val="1256"/>
  </w:num>
  <w:num w:numId="1345" w16cid:durableId="1124811858">
    <w:abstractNumId w:val="797"/>
  </w:num>
  <w:num w:numId="1346" w16cid:durableId="1181234961">
    <w:abstractNumId w:val="121"/>
  </w:num>
  <w:num w:numId="1347" w16cid:durableId="1161196090">
    <w:abstractNumId w:val="1048"/>
  </w:num>
  <w:num w:numId="1348" w16cid:durableId="1795440000">
    <w:abstractNumId w:val="954"/>
  </w:num>
  <w:num w:numId="1349" w16cid:durableId="190343564">
    <w:abstractNumId w:val="915"/>
  </w:num>
  <w:num w:numId="1350" w16cid:durableId="1826241310">
    <w:abstractNumId w:val="455"/>
  </w:num>
  <w:num w:numId="1351" w16cid:durableId="764108448">
    <w:abstractNumId w:val="647"/>
  </w:num>
  <w:num w:numId="1352" w16cid:durableId="1633293760">
    <w:abstractNumId w:val="361"/>
  </w:num>
  <w:num w:numId="1353" w16cid:durableId="536045741">
    <w:abstractNumId w:val="1427"/>
  </w:num>
  <w:num w:numId="1354" w16cid:durableId="1734040377">
    <w:abstractNumId w:val="1168"/>
  </w:num>
  <w:num w:numId="1355" w16cid:durableId="1480883248">
    <w:abstractNumId w:val="1311"/>
  </w:num>
  <w:num w:numId="1356" w16cid:durableId="399863108">
    <w:abstractNumId w:val="918"/>
  </w:num>
  <w:num w:numId="1357" w16cid:durableId="164442781">
    <w:abstractNumId w:val="226"/>
  </w:num>
  <w:num w:numId="1358" w16cid:durableId="2064791820">
    <w:abstractNumId w:val="1318"/>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6"/>
  </w:num>
  <w:num w:numId="1365" w16cid:durableId="2125071392">
    <w:abstractNumId w:val="1131"/>
  </w:num>
  <w:num w:numId="1366" w16cid:durableId="2129465467">
    <w:abstractNumId w:val="53"/>
  </w:num>
  <w:num w:numId="1367" w16cid:durableId="2101831686">
    <w:abstractNumId w:val="1298"/>
  </w:num>
  <w:num w:numId="1368" w16cid:durableId="1803845401">
    <w:abstractNumId w:val="651"/>
  </w:num>
  <w:num w:numId="1369" w16cid:durableId="790591155">
    <w:abstractNumId w:val="585"/>
  </w:num>
  <w:num w:numId="1370" w16cid:durableId="67775873">
    <w:abstractNumId w:val="944"/>
  </w:num>
  <w:num w:numId="1371" w16cid:durableId="1701318894">
    <w:abstractNumId w:val="1010"/>
  </w:num>
  <w:num w:numId="1372" w16cid:durableId="817187332">
    <w:abstractNumId w:val="1347"/>
  </w:num>
  <w:num w:numId="1373" w16cid:durableId="1152452724">
    <w:abstractNumId w:val="825"/>
  </w:num>
  <w:num w:numId="1374" w16cid:durableId="1871524555">
    <w:abstractNumId w:val="866"/>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19"/>
  </w:num>
  <w:num w:numId="1383" w16cid:durableId="1678576527">
    <w:abstractNumId w:val="922"/>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5"/>
  </w:num>
  <w:num w:numId="1389" w16cid:durableId="1223446817">
    <w:abstractNumId w:val="848"/>
  </w:num>
  <w:num w:numId="1390" w16cid:durableId="598414974">
    <w:abstractNumId w:val="1368"/>
  </w:num>
  <w:num w:numId="1391" w16cid:durableId="104082866">
    <w:abstractNumId w:val="288"/>
  </w:num>
  <w:num w:numId="1392" w16cid:durableId="954169222">
    <w:abstractNumId w:val="955"/>
  </w:num>
  <w:num w:numId="1393" w16cid:durableId="569733983">
    <w:abstractNumId w:val="1386"/>
  </w:num>
  <w:num w:numId="1394" w16cid:durableId="1592353020">
    <w:abstractNumId w:val="1043"/>
  </w:num>
  <w:num w:numId="1395" w16cid:durableId="1545365871">
    <w:abstractNumId w:val="436"/>
  </w:num>
  <w:num w:numId="1396" w16cid:durableId="258569339">
    <w:abstractNumId w:val="653"/>
  </w:num>
  <w:num w:numId="1397" w16cid:durableId="1465735489">
    <w:abstractNumId w:val="395"/>
  </w:num>
  <w:num w:numId="1398" w16cid:durableId="1726836905">
    <w:abstractNumId w:val="1037"/>
  </w:num>
  <w:num w:numId="1399" w16cid:durableId="1691711959">
    <w:abstractNumId w:val="994"/>
  </w:num>
  <w:num w:numId="1400" w16cid:durableId="263340308">
    <w:abstractNumId w:val="257"/>
  </w:num>
  <w:num w:numId="1401" w16cid:durableId="1297371137">
    <w:abstractNumId w:val="1379"/>
  </w:num>
  <w:num w:numId="1402" w16cid:durableId="228659187">
    <w:abstractNumId w:val="74"/>
  </w:num>
  <w:num w:numId="1403" w16cid:durableId="216748050">
    <w:abstractNumId w:val="984"/>
  </w:num>
  <w:num w:numId="1404" w16cid:durableId="389692433">
    <w:abstractNumId w:val="405"/>
  </w:num>
  <w:num w:numId="1405" w16cid:durableId="97533331">
    <w:abstractNumId w:val="1344"/>
  </w:num>
  <w:num w:numId="1406" w16cid:durableId="2066558591">
    <w:abstractNumId w:val="489"/>
  </w:num>
  <w:num w:numId="1407" w16cid:durableId="2004040898">
    <w:abstractNumId w:val="1013"/>
  </w:num>
  <w:num w:numId="1408" w16cid:durableId="789518664">
    <w:abstractNumId w:val="823"/>
  </w:num>
  <w:num w:numId="1409" w16cid:durableId="612787564">
    <w:abstractNumId w:val="756"/>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2"/>
  </w:num>
  <w:num w:numId="1415" w16cid:durableId="1705518893">
    <w:abstractNumId w:val="447"/>
  </w:num>
  <w:num w:numId="1416" w16cid:durableId="792747973">
    <w:abstractNumId w:val="1192"/>
  </w:num>
  <w:num w:numId="1417" w16cid:durableId="1645425336">
    <w:abstractNumId w:val="828"/>
  </w:num>
  <w:num w:numId="1418" w16cid:durableId="63726489">
    <w:abstractNumId w:val="1341"/>
  </w:num>
  <w:num w:numId="1419" w16cid:durableId="1031225454">
    <w:abstractNumId w:val="33"/>
  </w:num>
  <w:num w:numId="1420" w16cid:durableId="1908104545">
    <w:abstractNumId w:val="665"/>
  </w:num>
  <w:num w:numId="1421" w16cid:durableId="360207997">
    <w:abstractNumId w:val="1167"/>
  </w:num>
  <w:num w:numId="1422" w16cid:durableId="1396928757">
    <w:abstractNumId w:val="620"/>
  </w:num>
  <w:num w:numId="1423" w16cid:durableId="607852067">
    <w:abstractNumId w:val="359"/>
  </w:num>
  <w:num w:numId="1424" w16cid:durableId="1907375372">
    <w:abstractNumId w:val="1370"/>
  </w:num>
  <w:num w:numId="1425" w16cid:durableId="1012611024">
    <w:abstractNumId w:val="786"/>
  </w:num>
  <w:num w:numId="1426" w16cid:durableId="1975519242">
    <w:abstractNumId w:val="310"/>
  </w:num>
  <w:num w:numId="1427" w16cid:durableId="709765059">
    <w:abstractNumId w:val="1257"/>
  </w:num>
  <w:num w:numId="1428" w16cid:durableId="725106167">
    <w:abstractNumId w:val="1039"/>
  </w:num>
  <w:num w:numId="1429" w16cid:durableId="1749693609">
    <w:abstractNumId w:val="1397"/>
  </w:num>
  <w:num w:numId="1430" w16cid:durableId="32195111">
    <w:abstractNumId w:val="1239"/>
  </w:num>
  <w:num w:numId="1431" w16cid:durableId="649528733">
    <w:abstractNumId w:val="948"/>
  </w:num>
  <w:num w:numId="1432" w16cid:durableId="2004359708">
    <w:abstractNumId w:val="87"/>
  </w:num>
  <w:num w:numId="1433" w16cid:durableId="1807697497">
    <w:abstractNumId w:val="595"/>
  </w:num>
  <w:num w:numId="1434" w16cid:durableId="2049180340">
    <w:abstractNumId w:val="877"/>
  </w:num>
  <w:num w:numId="1435" w16cid:durableId="1869102464">
    <w:abstractNumId w:val="1334"/>
  </w:num>
  <w:num w:numId="1436" w16cid:durableId="639118721">
    <w:abstractNumId w:val="986"/>
  </w:num>
  <w:num w:numId="1437" w16cid:durableId="1472290467">
    <w:abstractNumId w:val="393"/>
  </w:num>
  <w:num w:numId="1438" w16cid:durableId="1314136307">
    <w:abstractNumId w:val="335"/>
  </w:num>
  <w:num w:numId="1439" w16cid:durableId="1431468064">
    <w:abstractNumId w:val="516"/>
  </w:num>
  <w:num w:numId="1440" w16cid:durableId="796336681">
    <w:abstractNumId w:val="1315"/>
  </w:num>
  <w:num w:numId="1441" w16cid:durableId="945192127">
    <w:abstractNumId w:val="1067"/>
  </w:num>
  <w:num w:numId="1442" w16cid:durableId="1834374950">
    <w:abstractNumId w:val="518"/>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50113"/>
    <w:rsid w:val="000654DF"/>
    <w:rsid w:val="000A2D1A"/>
    <w:rsid w:val="000B3BF3"/>
    <w:rsid w:val="000C4F0F"/>
    <w:rsid w:val="000D0483"/>
    <w:rsid w:val="000E40C5"/>
    <w:rsid w:val="00114CFC"/>
    <w:rsid w:val="001208D3"/>
    <w:rsid w:val="0012098C"/>
    <w:rsid w:val="00143EFD"/>
    <w:rsid w:val="001B1E05"/>
    <w:rsid w:val="001E6D23"/>
    <w:rsid w:val="00211C3D"/>
    <w:rsid w:val="002352B4"/>
    <w:rsid w:val="00245435"/>
    <w:rsid w:val="00264F6B"/>
    <w:rsid w:val="0029379B"/>
    <w:rsid w:val="002B059A"/>
    <w:rsid w:val="002C257B"/>
    <w:rsid w:val="003765EA"/>
    <w:rsid w:val="003974A7"/>
    <w:rsid w:val="003A7886"/>
    <w:rsid w:val="003D7F29"/>
    <w:rsid w:val="003E33EC"/>
    <w:rsid w:val="004E746C"/>
    <w:rsid w:val="00563F35"/>
    <w:rsid w:val="005A2E3A"/>
    <w:rsid w:val="005D7D94"/>
    <w:rsid w:val="005E2CCF"/>
    <w:rsid w:val="005E2CFA"/>
    <w:rsid w:val="00613CA9"/>
    <w:rsid w:val="00627E13"/>
    <w:rsid w:val="006552B6"/>
    <w:rsid w:val="00663E36"/>
    <w:rsid w:val="006C441C"/>
    <w:rsid w:val="006F07B7"/>
    <w:rsid w:val="007013F1"/>
    <w:rsid w:val="0071534A"/>
    <w:rsid w:val="00721FF8"/>
    <w:rsid w:val="00745228"/>
    <w:rsid w:val="0078418F"/>
    <w:rsid w:val="007B2B92"/>
    <w:rsid w:val="007C52CD"/>
    <w:rsid w:val="007D1E8C"/>
    <w:rsid w:val="007E7A74"/>
    <w:rsid w:val="007F7098"/>
    <w:rsid w:val="00831347"/>
    <w:rsid w:val="008448A4"/>
    <w:rsid w:val="0084735C"/>
    <w:rsid w:val="008556B1"/>
    <w:rsid w:val="008937AD"/>
    <w:rsid w:val="008A2D24"/>
    <w:rsid w:val="008A3A28"/>
    <w:rsid w:val="008D1642"/>
    <w:rsid w:val="009173DE"/>
    <w:rsid w:val="00942D56"/>
    <w:rsid w:val="0096330B"/>
    <w:rsid w:val="0098576C"/>
    <w:rsid w:val="009B7EB8"/>
    <w:rsid w:val="009F19B5"/>
    <w:rsid w:val="00A2400B"/>
    <w:rsid w:val="00A2712A"/>
    <w:rsid w:val="00A34302"/>
    <w:rsid w:val="00AC02AC"/>
    <w:rsid w:val="00AC1115"/>
    <w:rsid w:val="00B53708"/>
    <w:rsid w:val="00B54AE1"/>
    <w:rsid w:val="00B65A57"/>
    <w:rsid w:val="00B74B74"/>
    <w:rsid w:val="00B9247D"/>
    <w:rsid w:val="00BC7A06"/>
    <w:rsid w:val="00BD133E"/>
    <w:rsid w:val="00BF48FE"/>
    <w:rsid w:val="00C30E67"/>
    <w:rsid w:val="00C34300"/>
    <w:rsid w:val="00C55C0A"/>
    <w:rsid w:val="00C57714"/>
    <w:rsid w:val="00CC4809"/>
    <w:rsid w:val="00CD3782"/>
    <w:rsid w:val="00CD6B47"/>
    <w:rsid w:val="00CD7910"/>
    <w:rsid w:val="00DA3D71"/>
    <w:rsid w:val="00DF506C"/>
    <w:rsid w:val="00E4603E"/>
    <w:rsid w:val="00E46579"/>
    <w:rsid w:val="00E82A84"/>
    <w:rsid w:val="00EA3549"/>
    <w:rsid w:val="00EB0240"/>
    <w:rsid w:val="00EB3FD0"/>
    <w:rsid w:val="00EE448D"/>
    <w:rsid w:val="00F357AF"/>
    <w:rsid w:val="00F43979"/>
    <w:rsid w:val="00F55595"/>
    <w:rsid w:val="00F9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871B"/>
  <w15:chartTrackingRefBased/>
  <w15:docId w15:val="{36FE5305-5648-431A-B0C2-0C610BDC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B47"/>
    <w:pPr>
      <w:spacing w:after="160" w:line="259" w:lineRule="auto"/>
      <w:ind w:left="0"/>
    </w:pPr>
    <w:rPr>
      <w:rFonts w:ascii="Verdana" w:hAnsi="Verdana"/>
      <w:color w:val="auto"/>
    </w:rPr>
  </w:style>
  <w:style w:type="paragraph" w:styleId="Heading1">
    <w:name w:val="heading 1"/>
    <w:basedOn w:val="Normal"/>
    <w:link w:val="Heading1Char"/>
    <w:uiPriority w:val="9"/>
    <w:qFormat/>
    <w:rsid w:val="00CD6B47"/>
    <w:pPr>
      <w:spacing w:before="100" w:beforeAutospacing="1" w:after="100" w:afterAutospacing="1" w:line="240" w:lineRule="auto"/>
      <w:outlineLvl w:val="0"/>
    </w:pPr>
    <w:rPr>
      <w:rFonts w:eastAsiaTheme="minorEastAsia" w:cs="Times New Roman"/>
      <w:b/>
      <w:bCs/>
      <w:kern w:val="36"/>
      <w:sz w:val="36"/>
      <w:szCs w:val="48"/>
    </w:rPr>
  </w:style>
  <w:style w:type="paragraph" w:styleId="Heading2">
    <w:name w:val="heading 2"/>
    <w:basedOn w:val="Normal"/>
    <w:link w:val="Heading2Char"/>
    <w:uiPriority w:val="9"/>
    <w:qFormat/>
    <w:rsid w:val="00CD6B47"/>
    <w:pPr>
      <w:spacing w:before="100" w:beforeAutospacing="1" w:after="100" w:afterAutospacing="1" w:line="240" w:lineRule="auto"/>
      <w:outlineLvl w:val="1"/>
    </w:pPr>
    <w:rPr>
      <w:rFonts w:eastAsiaTheme="minorEastAsia" w:cs="Times New Roman"/>
      <w:b/>
      <w:bCs/>
      <w:sz w:val="32"/>
      <w:szCs w:val="36"/>
    </w:rPr>
  </w:style>
  <w:style w:type="paragraph" w:styleId="Heading3">
    <w:name w:val="heading 3"/>
    <w:basedOn w:val="Normal"/>
    <w:link w:val="Heading3Char"/>
    <w:uiPriority w:val="9"/>
    <w:qFormat/>
    <w:rsid w:val="00CD6B47"/>
    <w:pPr>
      <w:spacing w:before="100" w:beforeAutospacing="1" w:after="100" w:afterAutospacing="1" w:line="240" w:lineRule="auto"/>
      <w:outlineLvl w:val="2"/>
    </w:pPr>
    <w:rPr>
      <w:rFonts w:eastAsiaTheme="minorEastAsia" w:cs="Times New Roman"/>
      <w:b/>
      <w:bCs/>
      <w:sz w:val="28"/>
      <w:szCs w:val="27"/>
    </w:rPr>
  </w:style>
  <w:style w:type="paragraph" w:styleId="Heading4">
    <w:name w:val="heading 4"/>
    <w:basedOn w:val="Normal"/>
    <w:link w:val="Heading4Char"/>
    <w:uiPriority w:val="9"/>
    <w:qFormat/>
    <w:rsid w:val="00CD6B47"/>
    <w:pPr>
      <w:spacing w:before="100" w:beforeAutospacing="1" w:after="100" w:afterAutospacing="1" w:line="240" w:lineRule="auto"/>
      <w:outlineLvl w:val="3"/>
    </w:pPr>
    <w:rPr>
      <w:rFonts w:eastAsiaTheme="minorEastAsia" w:cs="Times New Roman"/>
      <w:b/>
      <w:bCs/>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B47"/>
    <w:rPr>
      <w:rFonts w:ascii="Verdana" w:eastAsiaTheme="minorEastAsia" w:hAnsi="Verdana" w:cs="Times New Roman"/>
      <w:b/>
      <w:bCs/>
      <w:color w:val="auto"/>
      <w:kern w:val="36"/>
      <w:sz w:val="36"/>
      <w:szCs w:val="48"/>
    </w:rPr>
  </w:style>
  <w:style w:type="character" w:customStyle="1" w:styleId="Heading2Char">
    <w:name w:val="Heading 2 Char"/>
    <w:basedOn w:val="DefaultParagraphFont"/>
    <w:link w:val="Heading2"/>
    <w:uiPriority w:val="9"/>
    <w:rsid w:val="00CD6B47"/>
    <w:rPr>
      <w:rFonts w:ascii="Verdana" w:eastAsiaTheme="minorEastAsia" w:hAnsi="Verdana" w:cs="Times New Roman"/>
      <w:b/>
      <w:bCs/>
      <w:color w:val="auto"/>
      <w:sz w:val="32"/>
      <w:szCs w:val="36"/>
    </w:rPr>
  </w:style>
  <w:style w:type="character" w:customStyle="1" w:styleId="Heading3Char">
    <w:name w:val="Heading 3 Char"/>
    <w:basedOn w:val="DefaultParagraphFont"/>
    <w:link w:val="Heading3"/>
    <w:uiPriority w:val="9"/>
    <w:rsid w:val="00CD6B47"/>
    <w:rPr>
      <w:rFonts w:ascii="Verdana" w:eastAsiaTheme="minorEastAsia" w:hAnsi="Verdana" w:cs="Times New Roman"/>
      <w:b/>
      <w:bCs/>
      <w:color w:val="auto"/>
      <w:sz w:val="28"/>
      <w:szCs w:val="27"/>
    </w:rPr>
  </w:style>
  <w:style w:type="character" w:customStyle="1" w:styleId="Heading4Char">
    <w:name w:val="Heading 4 Char"/>
    <w:basedOn w:val="DefaultParagraphFont"/>
    <w:link w:val="Heading4"/>
    <w:uiPriority w:val="9"/>
    <w:rsid w:val="00CD6B47"/>
    <w:rPr>
      <w:rFonts w:ascii="Verdana" w:eastAsiaTheme="minorEastAsia" w:hAnsi="Verdana"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unhideWhenUsed/>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CD6B47"/>
    <w:pPr>
      <w:spacing w:after="100"/>
    </w:pPr>
  </w:style>
  <w:style w:type="paragraph" w:styleId="TOC2">
    <w:name w:val="toc 2"/>
    <w:basedOn w:val="Normal"/>
    <w:next w:val="Normal"/>
    <w:autoRedefine/>
    <w:uiPriority w:val="39"/>
    <w:unhideWhenUsed/>
    <w:rsid w:val="00CD6B47"/>
    <w:pPr>
      <w:spacing w:after="100"/>
      <w:ind w:left="220"/>
    </w:pPr>
  </w:style>
  <w:style w:type="paragraph" w:styleId="TOC3">
    <w:name w:val="toc 3"/>
    <w:basedOn w:val="Normal"/>
    <w:next w:val="Normal"/>
    <w:autoRedefine/>
    <w:uiPriority w:val="39"/>
    <w:unhideWhenUsed/>
    <w:rsid w:val="00CD6B47"/>
    <w:pPr>
      <w:spacing w:after="100"/>
      <w:ind w:left="440"/>
    </w:pPr>
  </w:style>
  <w:style w:type="paragraph" w:styleId="TOC4">
    <w:name w:val="toc 4"/>
    <w:basedOn w:val="Normal"/>
    <w:next w:val="Normal"/>
    <w:autoRedefine/>
    <w:uiPriority w:val="39"/>
    <w:unhideWhenUsed/>
    <w:rsid w:val="00CD6B47"/>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policy/fund/guid/uniform-guidance/internal-controls.html" TargetMode="External"/><Relationship Id="rId5" Type="http://schemas.openxmlformats.org/officeDocument/2006/relationships/numbering" Target="numbering.xml"/><Relationship Id="rId10" Type="http://schemas.openxmlformats.org/officeDocument/2006/relationships/hyperlink" Target="https://www.gao.gov/greenbook/overview" TargetMode="External"/><Relationship Id="rId4" Type="http://schemas.openxmlformats.org/officeDocument/2006/relationships/customXml" Target="../customXml/item4.xml"/><Relationship Id="rId9" Type="http://schemas.openxmlformats.org/officeDocument/2006/relationships/hyperlink" Target="mailto:vrsm.support@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VRSM D-400 interim chapter - revised with Sept 18th policy edit</Comment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3" ma:contentTypeDescription="Create a new document." ma:contentTypeScope="" ma:versionID="265dead1bfbad51d14c2a4053aa7a3d7">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7686e2ea3d1ac681ac86c17c46d3f047"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17F4EB-B090-45B7-80DE-32252C6A089B}">
  <ds:schemaRefs>
    <ds:schemaRef ds:uri="http://schemas.microsoft.com/sharepoint/v3/contenttype/forms"/>
  </ds:schemaRefs>
</ds:datastoreItem>
</file>

<file path=customXml/itemProps2.xml><?xml version="1.0" encoding="utf-8"?>
<ds:datastoreItem xmlns:ds="http://schemas.openxmlformats.org/officeDocument/2006/customXml" ds:itemID="{6517E21E-A1C5-44D6-89CC-CE1878B259F6}">
  <ds:schemaRef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purl.org/dc/elements/1.1/"/>
    <ds:schemaRef ds:uri="58825e9e-cc90-40c0-979d-f08666619410"/>
    <ds:schemaRef ds:uri="6bfde61a-94c1-42db-b4d1-79e5b3c6adc0"/>
    <ds:schemaRef ds:uri="http://schemas.microsoft.com/office/infopath/2007/PartnerControls"/>
    <ds:schemaRef ds:uri="http://schemas.openxmlformats.org/package/2006/metadata/core-properties"/>
    <ds:schemaRef ds:uri="041c5daf-9d3a-4e9a-b660-f4ef0b4e5805"/>
  </ds:schemaRefs>
</ds:datastoreItem>
</file>

<file path=customXml/itemProps3.xml><?xml version="1.0" encoding="utf-8"?>
<ds:datastoreItem xmlns:ds="http://schemas.openxmlformats.org/officeDocument/2006/customXml" ds:itemID="{E02D82E6-6D67-4FD0-A336-E26609DEE5BD}">
  <ds:schemaRefs>
    <ds:schemaRef ds:uri="http://schemas.openxmlformats.org/officeDocument/2006/bibliography"/>
  </ds:schemaRefs>
</ds:datastoreItem>
</file>

<file path=customXml/itemProps4.xml><?xml version="1.0" encoding="utf-8"?>
<ds:datastoreItem xmlns:ds="http://schemas.openxmlformats.org/officeDocument/2006/customXml" ds:itemID="{C0959676-B3C4-46F5-B18E-252BC008784B}"/>
</file>

<file path=docProps/app.xml><?xml version="1.0" encoding="utf-8"?>
<Properties xmlns="http://schemas.openxmlformats.org/officeDocument/2006/extended-properties" xmlns:vt="http://schemas.openxmlformats.org/officeDocument/2006/docPropsVTypes">
  <Template>Normal</Template>
  <TotalTime>0</TotalTime>
  <Pages>11</Pages>
  <Words>3032</Words>
  <Characters>17285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Rehabilitation Services Manual Section D-400</dc:title>
  <dc:subject/>
  <dc:creator>DocuSignProject@twcgov.onmicrosoft.com</dc:creator>
  <cp:keywords/>
  <dc:description/>
  <cp:lastModifiedBy>Caillouet,Shelly</cp:lastModifiedBy>
  <cp:revision>2</cp:revision>
  <dcterms:created xsi:type="dcterms:W3CDTF">2023-08-24T21:00:00Z</dcterms:created>
  <dcterms:modified xsi:type="dcterms:W3CDTF">2023-08-24T21:00:00Z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